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50EA" w14:textId="27952165" w:rsidR="000F3123" w:rsidRPr="000F3123" w:rsidRDefault="003E6D2F" w:rsidP="00976246">
      <w:pPr>
        <w:pStyle w:val="TMETitle"/>
      </w:pPr>
      <w:r w:rsidRPr="003E6D2F">
        <w:t xml:space="preserve">Using </w:t>
      </w:r>
      <w:proofErr w:type="spellStart"/>
      <w:r w:rsidRPr="003E6D2F">
        <w:t>Bafa</w:t>
      </w:r>
      <w:proofErr w:type="spellEnd"/>
      <w:r w:rsidRPr="003E6D2F">
        <w:t xml:space="preserve"> </w:t>
      </w:r>
      <w:proofErr w:type="spellStart"/>
      <w:r w:rsidRPr="003E6D2F">
        <w:t>Bafa</w:t>
      </w:r>
      <w:proofErr w:type="spellEnd"/>
      <w:r w:rsidRPr="003E6D2F">
        <w:t xml:space="preserve"> </w:t>
      </w:r>
      <w:r>
        <w:t>t</w:t>
      </w:r>
      <w:r w:rsidRPr="003E6D2F">
        <w:t xml:space="preserve">o Help Pre-Service Teachers Experience Microaggressions </w:t>
      </w:r>
      <w:r>
        <w:t>i</w:t>
      </w:r>
      <w:r w:rsidRPr="003E6D2F">
        <w:t xml:space="preserve">n </w:t>
      </w:r>
      <w:r>
        <w:t>t</w:t>
      </w:r>
      <w:r w:rsidRPr="003E6D2F">
        <w:t>he Classroom</w:t>
      </w:r>
    </w:p>
    <w:p w14:paraId="59F1095E" w14:textId="139241D0" w:rsidR="006739F9" w:rsidRPr="001C060B" w:rsidRDefault="00B76AAA" w:rsidP="001D5F10">
      <w:pPr>
        <w:pStyle w:val="TMEAuthorsname"/>
        <w:rPr>
          <w:lang w:val="en-US"/>
        </w:rPr>
      </w:pPr>
      <w:r>
        <w:rPr>
          <w:lang w:val="en-US"/>
        </w:rPr>
        <w:t>Rebecca Dibbs</w:t>
      </w:r>
      <w:r w:rsidR="006739F9">
        <w:rPr>
          <w:lang w:val="en-US"/>
        </w:rPr>
        <w:t xml:space="preserve">, </w:t>
      </w:r>
      <w:r w:rsidR="00B33D7A">
        <w:rPr>
          <w:lang w:val="en-US"/>
        </w:rPr>
        <w:t>Kelly Lewis,</w:t>
      </w:r>
      <w:r w:rsidR="00D34DAB">
        <w:rPr>
          <w:lang w:val="en-US"/>
        </w:rPr>
        <w:t xml:space="preserve"> </w:t>
      </w:r>
      <w:r w:rsidR="00B33D7A">
        <w:rPr>
          <w:lang w:val="en-US"/>
        </w:rPr>
        <w:t>Jennifer Moon</w:t>
      </w:r>
      <w:r w:rsidR="006739F9">
        <w:rPr>
          <w:lang w:val="en-US"/>
        </w:rPr>
        <w:t xml:space="preserve">, and </w:t>
      </w:r>
      <w:r w:rsidR="009A4725">
        <w:rPr>
          <w:lang w:val="en-US"/>
        </w:rPr>
        <w:t xml:space="preserve"> </w:t>
      </w:r>
      <w:r w:rsidR="00D34DAB">
        <w:rPr>
          <w:lang w:val="en-US"/>
        </w:rPr>
        <w:t>Rebecca Steward</w:t>
      </w:r>
    </w:p>
    <w:p w14:paraId="0F013DE8" w14:textId="0572E8FA" w:rsidR="006739F9" w:rsidRPr="009C5086" w:rsidRDefault="00347EB5" w:rsidP="006739F9">
      <w:pPr>
        <w:pStyle w:val="TMEAbstract"/>
        <w:pBdr>
          <w:bottom w:val="thickThinSmallGap" w:sz="24" w:space="1" w:color="auto"/>
        </w:pBdr>
        <w:rPr>
          <w:sz w:val="19"/>
          <w:szCs w:val="19"/>
        </w:rPr>
      </w:pPr>
      <w:r w:rsidRPr="00347EB5">
        <w:rPr>
          <w:sz w:val="19"/>
          <w:szCs w:val="19"/>
        </w:rPr>
        <w:t xml:space="preserve">Implementing an equity agenda in the classroom is both necessary and challenging for classes containing pre-service teachers. For this intervention, we chose to begin our History of Mathematics course for pre-service middle school teachers with </w:t>
      </w:r>
      <w:r w:rsidR="00137ED6">
        <w:rPr>
          <w:sz w:val="19"/>
          <w:szCs w:val="19"/>
        </w:rPr>
        <w:t>a</w:t>
      </w:r>
      <w:r w:rsidRPr="00347EB5">
        <w:rPr>
          <w:sz w:val="19"/>
          <w:szCs w:val="19"/>
        </w:rPr>
        <w:t xml:space="preserve"> cultural simulation training exercise</w:t>
      </w:r>
      <w:r w:rsidR="00137ED6">
        <w:rPr>
          <w:sz w:val="19"/>
          <w:szCs w:val="19"/>
        </w:rPr>
        <w:t>:</w:t>
      </w:r>
      <w:r w:rsidRPr="00347EB5">
        <w:rPr>
          <w:sz w:val="19"/>
          <w:szCs w:val="19"/>
        </w:rPr>
        <w:t xml:space="preserve"> </w:t>
      </w:r>
      <w:proofErr w:type="spellStart"/>
      <w:r w:rsidRPr="00347EB5">
        <w:rPr>
          <w:sz w:val="19"/>
          <w:szCs w:val="19"/>
        </w:rPr>
        <w:t>Bafa</w:t>
      </w:r>
      <w:proofErr w:type="spellEnd"/>
      <w:r w:rsidRPr="00347EB5">
        <w:rPr>
          <w:sz w:val="19"/>
          <w:szCs w:val="19"/>
        </w:rPr>
        <w:t xml:space="preserve"> </w:t>
      </w:r>
      <w:proofErr w:type="spellStart"/>
      <w:r w:rsidRPr="00347EB5">
        <w:rPr>
          <w:sz w:val="19"/>
          <w:szCs w:val="19"/>
        </w:rPr>
        <w:t>Bafa</w:t>
      </w:r>
      <w:proofErr w:type="spellEnd"/>
      <w:r w:rsidRPr="00347EB5">
        <w:rPr>
          <w:sz w:val="19"/>
          <w:szCs w:val="19"/>
        </w:rPr>
        <w:t>. After participating in the exercise</w:t>
      </w:r>
      <w:r w:rsidR="00137ED6">
        <w:rPr>
          <w:sz w:val="19"/>
          <w:szCs w:val="19"/>
        </w:rPr>
        <w:t>,</w:t>
      </w:r>
      <w:r w:rsidRPr="00347EB5">
        <w:rPr>
          <w:sz w:val="19"/>
          <w:szCs w:val="19"/>
        </w:rPr>
        <w:t xml:space="preserve"> pre-service teachers were asked to write a reflection paper and were later interviewed about their experiences in the course. Although participants found </w:t>
      </w:r>
      <w:proofErr w:type="spellStart"/>
      <w:r w:rsidRPr="00347EB5">
        <w:rPr>
          <w:sz w:val="19"/>
          <w:szCs w:val="19"/>
        </w:rPr>
        <w:t>Bafa</w:t>
      </w:r>
      <w:proofErr w:type="spellEnd"/>
      <w:r w:rsidRPr="00347EB5">
        <w:rPr>
          <w:sz w:val="19"/>
          <w:szCs w:val="19"/>
        </w:rPr>
        <w:t xml:space="preserve"> </w:t>
      </w:r>
      <w:proofErr w:type="spellStart"/>
      <w:r w:rsidRPr="00347EB5">
        <w:rPr>
          <w:sz w:val="19"/>
          <w:szCs w:val="19"/>
        </w:rPr>
        <w:t>Bafa</w:t>
      </w:r>
      <w:proofErr w:type="spellEnd"/>
      <w:r w:rsidRPr="00347EB5">
        <w:rPr>
          <w:sz w:val="19"/>
          <w:szCs w:val="19"/>
        </w:rPr>
        <w:t xml:space="preserve"> an uncomfortable experience, it was not an unsafe one, and the pre-service teachers agreed that this exercise helped them better understand, articulate, and notice experiences with microaggressions</w:t>
      </w:r>
      <w:r w:rsidR="006739F9">
        <w:rPr>
          <w:sz w:val="19"/>
          <w:szCs w:val="19"/>
          <w:lang w:val="en-AU"/>
        </w:rPr>
        <w:t xml:space="preserve">. </w:t>
      </w:r>
      <w:r w:rsidR="006739F9" w:rsidRPr="009C5086">
        <w:rPr>
          <w:sz w:val="19"/>
          <w:szCs w:val="19"/>
          <w:lang w:val="en-AU"/>
        </w:rPr>
        <w:t xml:space="preserve"> </w:t>
      </w:r>
    </w:p>
    <w:p w14:paraId="11162EC3" w14:textId="007B6375" w:rsidR="00ED0B20" w:rsidRPr="00ED0B20" w:rsidRDefault="00ED0B20" w:rsidP="00ED0B20">
      <w:pPr>
        <w:pStyle w:val="Heading1"/>
        <w:rPr>
          <w:b w:val="0"/>
          <w:sz w:val="24"/>
        </w:rPr>
      </w:pPr>
      <w:r w:rsidRPr="00FC61E3">
        <w:rPr>
          <w:rStyle w:val="None"/>
          <w:sz w:val="24"/>
        </w:rPr>
        <w:t>Introduction: Preparing Culturally Responsive Teachers</w:t>
      </w:r>
    </w:p>
    <w:p w14:paraId="28DFB1CC" w14:textId="45290485" w:rsidR="00ED0B20" w:rsidRPr="00DB6F67" w:rsidRDefault="004D546A" w:rsidP="00DB6F67">
      <w:pPr>
        <w:pStyle w:val="TMEBodytext"/>
      </w:pPr>
      <w:r w:rsidRPr="00DB6F67">
        <mc:AlternateContent>
          <mc:Choice Requires="wps">
            <w:drawing>
              <wp:anchor distT="91440" distB="0" distL="114300" distR="114300" simplePos="0" relativeHeight="251659264" behindDoc="0" locked="0" layoutInCell="1" allowOverlap="1" wp14:anchorId="4DA2EF7C" wp14:editId="5C241CC5">
                <wp:simplePos x="0" y="0"/>
                <wp:positionH relativeFrom="margin">
                  <wp:posOffset>-103505</wp:posOffset>
                </wp:positionH>
                <wp:positionV relativeFrom="margin">
                  <wp:posOffset>4961255</wp:posOffset>
                </wp:positionV>
                <wp:extent cx="3774440" cy="1526540"/>
                <wp:effectExtent l="0" t="0" r="0" b="0"/>
                <wp:wrapSquare wrapText="bothSides"/>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1526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A5DBC" w14:textId="0924AD36" w:rsidR="006739F9" w:rsidRPr="001C060B" w:rsidRDefault="00936E4C" w:rsidP="006739F9">
                            <w:pPr>
                              <w:pStyle w:val="TMEAuthorbio"/>
                              <w:pBdr>
                                <w:top w:val="thinThickSmallGap" w:sz="24" w:space="0" w:color="auto"/>
                              </w:pBdr>
                              <w:rPr>
                                <w:b w:val="0"/>
                                <w:sz w:val="17"/>
                                <w:szCs w:val="17"/>
                                <w:lang w:val="en-US"/>
                              </w:rPr>
                            </w:pPr>
                            <w:r>
                              <w:rPr>
                                <w:sz w:val="17"/>
                                <w:szCs w:val="17"/>
                                <w:lang w:val="en-US"/>
                              </w:rPr>
                              <w:t xml:space="preserve">Rebecca Dibbs </w:t>
                            </w:r>
                            <w:r w:rsidR="006739F9" w:rsidRPr="001C060B">
                              <w:rPr>
                                <w:b w:val="0"/>
                                <w:sz w:val="17"/>
                                <w:szCs w:val="17"/>
                                <w:lang w:val="en-US"/>
                              </w:rPr>
                              <w:t>is</w:t>
                            </w:r>
                            <w:r w:rsidR="006739F9">
                              <w:rPr>
                                <w:b w:val="0"/>
                                <w:sz w:val="17"/>
                                <w:szCs w:val="17"/>
                                <w:lang w:val="en-US"/>
                              </w:rPr>
                              <w:t xml:space="preserve"> a</w:t>
                            </w:r>
                            <w:r w:rsidR="004D522C">
                              <w:rPr>
                                <w:b w:val="0"/>
                                <w:sz w:val="17"/>
                                <w:szCs w:val="17"/>
                                <w:lang w:val="en-US"/>
                              </w:rPr>
                              <w:t>n Associate</w:t>
                            </w:r>
                            <w:r>
                              <w:rPr>
                                <w:b w:val="0"/>
                                <w:sz w:val="17"/>
                                <w:szCs w:val="17"/>
                                <w:lang w:val="en-US"/>
                              </w:rPr>
                              <w:t xml:space="preserve"> </w:t>
                            </w:r>
                            <w:r w:rsidR="004D522C">
                              <w:rPr>
                                <w:b w:val="0"/>
                                <w:sz w:val="17"/>
                                <w:szCs w:val="17"/>
                                <w:lang w:val="en-US"/>
                              </w:rPr>
                              <w:t>P</w:t>
                            </w:r>
                            <w:r w:rsidR="006739F9">
                              <w:rPr>
                                <w:b w:val="0"/>
                                <w:sz w:val="17"/>
                                <w:szCs w:val="17"/>
                                <w:lang w:val="en-US"/>
                              </w:rPr>
                              <w:t xml:space="preserve">rofessor of mathematics education at </w:t>
                            </w:r>
                            <w:r w:rsidR="004D522C">
                              <w:rPr>
                                <w:b w:val="0"/>
                                <w:sz w:val="17"/>
                                <w:szCs w:val="17"/>
                              </w:rPr>
                              <w:t>Texas A&amp;M University-Commerce</w:t>
                            </w:r>
                            <w:r w:rsidR="006739F9" w:rsidRPr="00271871">
                              <w:rPr>
                                <w:b w:val="0"/>
                                <w:sz w:val="17"/>
                                <w:szCs w:val="17"/>
                              </w:rPr>
                              <w:t>.</w:t>
                            </w:r>
                            <w:r w:rsidR="006739F9">
                              <w:rPr>
                                <w:b w:val="0"/>
                                <w:sz w:val="17"/>
                                <w:szCs w:val="17"/>
                              </w:rPr>
                              <w:t xml:space="preserve"> </w:t>
                            </w:r>
                            <w:r w:rsidR="005D03A8">
                              <w:rPr>
                                <w:b w:val="0"/>
                                <w:sz w:val="17"/>
                                <w:szCs w:val="17"/>
                              </w:rPr>
                              <w:t>He</w:t>
                            </w:r>
                            <w:r w:rsidR="006739F9">
                              <w:rPr>
                                <w:b w:val="0"/>
                                <w:sz w:val="17"/>
                                <w:szCs w:val="17"/>
                              </w:rPr>
                              <w:t>r primary research focuses on</w:t>
                            </w:r>
                            <w:r>
                              <w:rPr>
                                <w:b w:val="0"/>
                                <w:sz w:val="17"/>
                                <w:szCs w:val="17"/>
                              </w:rPr>
                              <w:t xml:space="preserve"> </w:t>
                            </w:r>
                            <w:r w:rsidR="004D522C">
                              <w:rPr>
                                <w:b w:val="0"/>
                                <w:sz w:val="17"/>
                                <w:szCs w:val="17"/>
                              </w:rPr>
                              <w:t>inclusive mathematics education and undergraduate mathematics education</w:t>
                            </w:r>
                            <w:r w:rsidR="006739F9">
                              <w:rPr>
                                <w:b w:val="0"/>
                                <w:sz w:val="17"/>
                                <w:szCs w:val="17"/>
                              </w:rPr>
                              <w:t>.</w:t>
                            </w:r>
                          </w:p>
                          <w:p w14:paraId="53BAA7D2" w14:textId="5E3AE3FE" w:rsidR="004D546A" w:rsidRPr="001C060B" w:rsidRDefault="004D546A" w:rsidP="004D546A">
                            <w:pPr>
                              <w:pStyle w:val="TMEAuthorbio"/>
                              <w:pBdr>
                                <w:top w:val="thinThickSmallGap" w:sz="24" w:space="0" w:color="auto"/>
                              </w:pBdr>
                              <w:rPr>
                                <w:b w:val="0"/>
                                <w:sz w:val="17"/>
                                <w:szCs w:val="17"/>
                                <w:lang w:val="en-US"/>
                              </w:rPr>
                            </w:pPr>
                            <w:r>
                              <w:rPr>
                                <w:sz w:val="17"/>
                                <w:szCs w:val="17"/>
                                <w:lang w:val="en-US"/>
                              </w:rPr>
                              <w:t xml:space="preserve">Kelly Lewis </w:t>
                            </w:r>
                            <w:r w:rsidRPr="001C060B">
                              <w:rPr>
                                <w:b w:val="0"/>
                                <w:sz w:val="17"/>
                                <w:szCs w:val="17"/>
                                <w:lang w:val="en-US"/>
                              </w:rPr>
                              <w:t>is</w:t>
                            </w:r>
                            <w:r>
                              <w:rPr>
                                <w:b w:val="0"/>
                                <w:sz w:val="17"/>
                                <w:szCs w:val="17"/>
                                <w:lang w:val="en-US"/>
                              </w:rPr>
                              <w:t xml:space="preserve"> </w:t>
                            </w:r>
                            <w:r w:rsidR="004D522C">
                              <w:rPr>
                                <w:b w:val="0"/>
                                <w:sz w:val="17"/>
                                <w:szCs w:val="17"/>
                                <w:lang w:val="en-US"/>
                              </w:rPr>
                              <w:t>an independent scholar</w:t>
                            </w:r>
                            <w:r w:rsidRPr="00271871">
                              <w:rPr>
                                <w:b w:val="0"/>
                                <w:sz w:val="17"/>
                                <w:szCs w:val="17"/>
                              </w:rPr>
                              <w:t>.</w:t>
                            </w:r>
                            <w:r>
                              <w:rPr>
                                <w:b w:val="0"/>
                                <w:sz w:val="17"/>
                                <w:szCs w:val="17"/>
                              </w:rPr>
                              <w:t xml:space="preserve"> </w:t>
                            </w:r>
                            <w:r w:rsidR="005D03A8">
                              <w:rPr>
                                <w:b w:val="0"/>
                                <w:sz w:val="17"/>
                                <w:szCs w:val="17"/>
                              </w:rPr>
                              <w:t>Her</w:t>
                            </w:r>
                            <w:r>
                              <w:rPr>
                                <w:b w:val="0"/>
                                <w:sz w:val="17"/>
                                <w:szCs w:val="17"/>
                              </w:rPr>
                              <w:t xml:space="preserve"> primary research focuses on </w:t>
                            </w:r>
                            <w:r w:rsidR="004D522C">
                              <w:rPr>
                                <w:b w:val="0"/>
                                <w:sz w:val="17"/>
                                <w:szCs w:val="17"/>
                              </w:rPr>
                              <w:t>equity and inclusive mathematics education</w:t>
                            </w:r>
                            <w:r>
                              <w:rPr>
                                <w:b w:val="0"/>
                                <w:sz w:val="17"/>
                                <w:szCs w:val="17"/>
                              </w:rPr>
                              <w:t>.</w:t>
                            </w:r>
                          </w:p>
                          <w:p w14:paraId="3AC50B24" w14:textId="4046FFB8" w:rsidR="004D546A" w:rsidRPr="001C060B" w:rsidRDefault="004D546A" w:rsidP="004D546A">
                            <w:pPr>
                              <w:pStyle w:val="TMEAuthorbio"/>
                              <w:pBdr>
                                <w:top w:val="thinThickSmallGap" w:sz="24" w:space="0" w:color="auto"/>
                              </w:pBdr>
                              <w:rPr>
                                <w:b w:val="0"/>
                                <w:sz w:val="17"/>
                                <w:szCs w:val="17"/>
                                <w:lang w:val="en-US"/>
                              </w:rPr>
                            </w:pPr>
                            <w:r>
                              <w:rPr>
                                <w:sz w:val="17"/>
                                <w:szCs w:val="17"/>
                                <w:lang w:val="en-US"/>
                              </w:rPr>
                              <w:t xml:space="preserve">Jennifer Moon </w:t>
                            </w:r>
                            <w:r w:rsidRPr="001C060B">
                              <w:rPr>
                                <w:b w:val="0"/>
                                <w:sz w:val="17"/>
                                <w:szCs w:val="17"/>
                                <w:lang w:val="en-US"/>
                              </w:rPr>
                              <w:t>is</w:t>
                            </w:r>
                            <w:r>
                              <w:rPr>
                                <w:b w:val="0"/>
                                <w:sz w:val="17"/>
                                <w:szCs w:val="17"/>
                                <w:lang w:val="en-US"/>
                              </w:rPr>
                              <w:t xml:space="preserve"> a professor of mathematics </w:t>
                            </w:r>
                            <w:r w:rsidR="004D522C">
                              <w:rPr>
                                <w:b w:val="0"/>
                                <w:sz w:val="17"/>
                                <w:szCs w:val="17"/>
                                <w:lang w:val="en-US"/>
                              </w:rPr>
                              <w:t>at Trinity Valley Community College</w:t>
                            </w:r>
                            <w:r w:rsidRPr="00271871">
                              <w:rPr>
                                <w:b w:val="0"/>
                                <w:sz w:val="17"/>
                                <w:szCs w:val="17"/>
                              </w:rPr>
                              <w:t>.</w:t>
                            </w:r>
                            <w:r>
                              <w:rPr>
                                <w:b w:val="0"/>
                                <w:sz w:val="17"/>
                                <w:szCs w:val="17"/>
                              </w:rPr>
                              <w:t xml:space="preserve"> </w:t>
                            </w:r>
                            <w:r w:rsidR="005D03A8">
                              <w:rPr>
                                <w:b w:val="0"/>
                                <w:sz w:val="17"/>
                                <w:szCs w:val="17"/>
                              </w:rPr>
                              <w:t>He</w:t>
                            </w:r>
                            <w:r>
                              <w:rPr>
                                <w:b w:val="0"/>
                                <w:sz w:val="17"/>
                                <w:szCs w:val="17"/>
                              </w:rPr>
                              <w:t xml:space="preserve">r primary research focuses on </w:t>
                            </w:r>
                            <w:r w:rsidR="005D03A8">
                              <w:rPr>
                                <w:b w:val="0"/>
                                <w:sz w:val="17"/>
                                <w:szCs w:val="17"/>
                              </w:rPr>
                              <w:t>inclusive mathematics education</w:t>
                            </w:r>
                            <w:r>
                              <w:rPr>
                                <w:b w:val="0"/>
                                <w:sz w:val="17"/>
                                <w:szCs w:val="17"/>
                              </w:rPr>
                              <w:t>.</w:t>
                            </w:r>
                          </w:p>
                          <w:p w14:paraId="20AB4575" w14:textId="7DF5D8AD" w:rsidR="006739F9" w:rsidRPr="004D546A" w:rsidRDefault="004D546A" w:rsidP="004D546A">
                            <w:pPr>
                              <w:pStyle w:val="TMEAuthorbio"/>
                              <w:pBdr>
                                <w:top w:val="thinThickSmallGap" w:sz="24" w:space="0" w:color="auto"/>
                              </w:pBdr>
                              <w:rPr>
                                <w:b w:val="0"/>
                                <w:sz w:val="17"/>
                                <w:szCs w:val="17"/>
                                <w:lang w:val="en-US"/>
                              </w:rPr>
                            </w:pPr>
                            <w:r>
                              <w:rPr>
                                <w:sz w:val="17"/>
                                <w:szCs w:val="17"/>
                                <w:lang w:val="en-US"/>
                              </w:rPr>
                              <w:t xml:space="preserve">Rebecca Steward </w:t>
                            </w:r>
                            <w:r w:rsidRPr="001C060B">
                              <w:rPr>
                                <w:b w:val="0"/>
                                <w:sz w:val="17"/>
                                <w:szCs w:val="17"/>
                                <w:lang w:val="en-US"/>
                              </w:rPr>
                              <w:t>is</w:t>
                            </w:r>
                            <w:r>
                              <w:rPr>
                                <w:b w:val="0"/>
                                <w:sz w:val="17"/>
                                <w:szCs w:val="17"/>
                                <w:lang w:val="en-US"/>
                              </w:rPr>
                              <w:t xml:space="preserve"> a</w:t>
                            </w:r>
                            <w:r w:rsidR="004D522C">
                              <w:rPr>
                                <w:b w:val="0"/>
                                <w:sz w:val="17"/>
                                <w:szCs w:val="17"/>
                                <w:lang w:val="en-US"/>
                              </w:rPr>
                              <w:t xml:space="preserve">n instructor </w:t>
                            </w:r>
                            <w:r>
                              <w:rPr>
                                <w:b w:val="0"/>
                                <w:sz w:val="17"/>
                                <w:szCs w:val="17"/>
                                <w:lang w:val="en-US"/>
                              </w:rPr>
                              <w:t xml:space="preserve">of mathematics at </w:t>
                            </w:r>
                            <w:r w:rsidR="004D522C">
                              <w:rPr>
                                <w:b w:val="0"/>
                                <w:sz w:val="17"/>
                                <w:szCs w:val="17"/>
                              </w:rPr>
                              <w:t>Texas A&amp;M University-Commerce</w:t>
                            </w:r>
                            <w:r w:rsidRPr="00271871">
                              <w:rPr>
                                <w:b w:val="0"/>
                                <w:sz w:val="17"/>
                                <w:szCs w:val="17"/>
                              </w:rPr>
                              <w:t>.</w:t>
                            </w:r>
                            <w:r>
                              <w:rPr>
                                <w:b w:val="0"/>
                                <w:sz w:val="17"/>
                                <w:szCs w:val="17"/>
                              </w:rPr>
                              <w:t xml:space="preserve"> Their primary research focuses on </w:t>
                            </w:r>
                            <w:r w:rsidR="004D522C">
                              <w:rPr>
                                <w:b w:val="0"/>
                                <w:sz w:val="17"/>
                                <w:szCs w:val="17"/>
                              </w:rPr>
                              <w:t>topology and mathematics education</w:t>
                            </w:r>
                            <w:r>
                              <w:rPr>
                                <w:b w:val="0"/>
                                <w:sz w:val="17"/>
                                <w:szCs w:val="17"/>
                              </w:rPr>
                              <w:t>.</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2EF7C" id="_x0000_t202" coordsize="21600,21600" o:spt="202" path="m,l,21600r21600,l21600,xe">
                <v:stroke joinstyle="miter"/>
                <v:path gradientshapeok="t" o:connecttype="rect"/>
              </v:shapetype>
              <v:shape id="Text Box 74" o:spid="_x0000_s1026" type="#_x0000_t202" style="position:absolute;left:0;text-align:left;margin-left:-8.15pt;margin-top:390.65pt;width:297.2pt;height:120.2pt;z-index:251659264;visibility:visible;mso-wrap-style:square;mso-width-percent:0;mso-height-percent:0;mso-wrap-distance-left:9pt;mso-wrap-distance-top:7.2pt;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" fillcolor="#d9d9d9" stroked="f">
                <v:textbox inset="3.6pt,0,3.6pt,0">
                  <w:txbxContent>
                    <w:p w14:paraId="5DBA5DBC" w14:textId="0924AD36" w:rsidR="006739F9" w:rsidRPr="001C060B" w:rsidRDefault="00936E4C" w:rsidP="006739F9">
                      <w:pPr>
                        <w:pStyle w:val="TMEAuthorbio"/>
                        <w:pBdr>
                          <w:top w:val="thinThickSmallGap" w:sz="24" w:space="0" w:color="auto"/>
                        </w:pBdr>
                        <w:rPr>
                          <w:b w:val="0"/>
                          <w:sz w:val="17"/>
                          <w:szCs w:val="17"/>
                          <w:lang w:val="en-US"/>
                        </w:rPr>
                      </w:pPr>
                      <w:r>
                        <w:rPr>
                          <w:sz w:val="17"/>
                          <w:szCs w:val="17"/>
                          <w:lang w:val="en-US"/>
                        </w:rPr>
                        <w:t xml:space="preserve">Rebecca Dibbs </w:t>
                      </w:r>
                      <w:r w:rsidR="006739F9" w:rsidRPr="001C060B">
                        <w:rPr>
                          <w:b w:val="0"/>
                          <w:sz w:val="17"/>
                          <w:szCs w:val="17"/>
                          <w:lang w:val="en-US"/>
                        </w:rPr>
                        <w:t>is</w:t>
                      </w:r>
                      <w:r w:rsidR="006739F9">
                        <w:rPr>
                          <w:b w:val="0"/>
                          <w:sz w:val="17"/>
                          <w:szCs w:val="17"/>
                          <w:lang w:val="en-US"/>
                        </w:rPr>
                        <w:t xml:space="preserve"> a</w:t>
                      </w:r>
                      <w:r w:rsidR="004D522C">
                        <w:rPr>
                          <w:b w:val="0"/>
                          <w:sz w:val="17"/>
                          <w:szCs w:val="17"/>
                          <w:lang w:val="en-US"/>
                        </w:rPr>
                        <w:t>n Associate</w:t>
                      </w:r>
                      <w:r>
                        <w:rPr>
                          <w:b w:val="0"/>
                          <w:sz w:val="17"/>
                          <w:szCs w:val="17"/>
                          <w:lang w:val="en-US"/>
                        </w:rPr>
                        <w:t xml:space="preserve"> </w:t>
                      </w:r>
                      <w:r w:rsidR="004D522C">
                        <w:rPr>
                          <w:b w:val="0"/>
                          <w:sz w:val="17"/>
                          <w:szCs w:val="17"/>
                          <w:lang w:val="en-US"/>
                        </w:rPr>
                        <w:t>P</w:t>
                      </w:r>
                      <w:r w:rsidR="006739F9">
                        <w:rPr>
                          <w:b w:val="0"/>
                          <w:sz w:val="17"/>
                          <w:szCs w:val="17"/>
                          <w:lang w:val="en-US"/>
                        </w:rPr>
                        <w:t xml:space="preserve">rofessor of mathematics education at </w:t>
                      </w:r>
                      <w:r w:rsidR="004D522C">
                        <w:rPr>
                          <w:b w:val="0"/>
                          <w:sz w:val="17"/>
                          <w:szCs w:val="17"/>
                        </w:rPr>
                        <w:t>Texas A&amp;M University-Commerce</w:t>
                      </w:r>
                      <w:r w:rsidR="006739F9" w:rsidRPr="00271871">
                        <w:rPr>
                          <w:b w:val="0"/>
                          <w:sz w:val="17"/>
                          <w:szCs w:val="17"/>
                        </w:rPr>
                        <w:t>.</w:t>
                      </w:r>
                      <w:r w:rsidR="006739F9">
                        <w:rPr>
                          <w:b w:val="0"/>
                          <w:sz w:val="17"/>
                          <w:szCs w:val="17"/>
                        </w:rPr>
                        <w:t xml:space="preserve"> </w:t>
                      </w:r>
                      <w:r w:rsidR="005D03A8">
                        <w:rPr>
                          <w:b w:val="0"/>
                          <w:sz w:val="17"/>
                          <w:szCs w:val="17"/>
                        </w:rPr>
                        <w:t>He</w:t>
                      </w:r>
                      <w:r w:rsidR="006739F9">
                        <w:rPr>
                          <w:b w:val="0"/>
                          <w:sz w:val="17"/>
                          <w:szCs w:val="17"/>
                        </w:rPr>
                        <w:t>r primary research focuses on</w:t>
                      </w:r>
                      <w:r>
                        <w:rPr>
                          <w:b w:val="0"/>
                          <w:sz w:val="17"/>
                          <w:szCs w:val="17"/>
                        </w:rPr>
                        <w:t xml:space="preserve"> </w:t>
                      </w:r>
                      <w:r w:rsidR="004D522C">
                        <w:rPr>
                          <w:b w:val="0"/>
                          <w:sz w:val="17"/>
                          <w:szCs w:val="17"/>
                        </w:rPr>
                        <w:t>inclusive mathematics education and undergraduate mathematics education</w:t>
                      </w:r>
                      <w:r w:rsidR="006739F9">
                        <w:rPr>
                          <w:b w:val="0"/>
                          <w:sz w:val="17"/>
                          <w:szCs w:val="17"/>
                        </w:rPr>
                        <w:t>.</w:t>
                      </w:r>
                    </w:p>
                    <w:p w14:paraId="53BAA7D2" w14:textId="5E3AE3FE" w:rsidR="004D546A" w:rsidRPr="001C060B" w:rsidRDefault="004D546A" w:rsidP="004D546A">
                      <w:pPr>
                        <w:pStyle w:val="TMEAuthorbio"/>
                        <w:pBdr>
                          <w:top w:val="thinThickSmallGap" w:sz="24" w:space="0" w:color="auto"/>
                        </w:pBdr>
                        <w:rPr>
                          <w:b w:val="0"/>
                          <w:sz w:val="17"/>
                          <w:szCs w:val="17"/>
                          <w:lang w:val="en-US"/>
                        </w:rPr>
                      </w:pPr>
                      <w:r>
                        <w:rPr>
                          <w:sz w:val="17"/>
                          <w:szCs w:val="17"/>
                          <w:lang w:val="en-US"/>
                        </w:rPr>
                        <w:t xml:space="preserve">Kelly Lewis </w:t>
                      </w:r>
                      <w:r w:rsidRPr="001C060B">
                        <w:rPr>
                          <w:b w:val="0"/>
                          <w:sz w:val="17"/>
                          <w:szCs w:val="17"/>
                          <w:lang w:val="en-US"/>
                        </w:rPr>
                        <w:t>is</w:t>
                      </w:r>
                      <w:r>
                        <w:rPr>
                          <w:b w:val="0"/>
                          <w:sz w:val="17"/>
                          <w:szCs w:val="17"/>
                          <w:lang w:val="en-US"/>
                        </w:rPr>
                        <w:t xml:space="preserve"> </w:t>
                      </w:r>
                      <w:r w:rsidR="004D522C">
                        <w:rPr>
                          <w:b w:val="0"/>
                          <w:sz w:val="17"/>
                          <w:szCs w:val="17"/>
                          <w:lang w:val="en-US"/>
                        </w:rPr>
                        <w:t>an independent scholar</w:t>
                      </w:r>
                      <w:r w:rsidRPr="00271871">
                        <w:rPr>
                          <w:b w:val="0"/>
                          <w:sz w:val="17"/>
                          <w:szCs w:val="17"/>
                        </w:rPr>
                        <w:t>.</w:t>
                      </w:r>
                      <w:r>
                        <w:rPr>
                          <w:b w:val="0"/>
                          <w:sz w:val="17"/>
                          <w:szCs w:val="17"/>
                        </w:rPr>
                        <w:t xml:space="preserve"> </w:t>
                      </w:r>
                      <w:r w:rsidR="005D03A8">
                        <w:rPr>
                          <w:b w:val="0"/>
                          <w:sz w:val="17"/>
                          <w:szCs w:val="17"/>
                        </w:rPr>
                        <w:t>Her</w:t>
                      </w:r>
                      <w:r>
                        <w:rPr>
                          <w:b w:val="0"/>
                          <w:sz w:val="17"/>
                          <w:szCs w:val="17"/>
                        </w:rPr>
                        <w:t xml:space="preserve"> primary research focuses on </w:t>
                      </w:r>
                      <w:r w:rsidR="004D522C">
                        <w:rPr>
                          <w:b w:val="0"/>
                          <w:sz w:val="17"/>
                          <w:szCs w:val="17"/>
                        </w:rPr>
                        <w:t>equity and inclusive mathematics education</w:t>
                      </w:r>
                      <w:r>
                        <w:rPr>
                          <w:b w:val="0"/>
                          <w:sz w:val="17"/>
                          <w:szCs w:val="17"/>
                        </w:rPr>
                        <w:t>.</w:t>
                      </w:r>
                    </w:p>
                    <w:p w14:paraId="3AC50B24" w14:textId="4046FFB8" w:rsidR="004D546A" w:rsidRPr="001C060B" w:rsidRDefault="004D546A" w:rsidP="004D546A">
                      <w:pPr>
                        <w:pStyle w:val="TMEAuthorbio"/>
                        <w:pBdr>
                          <w:top w:val="thinThickSmallGap" w:sz="24" w:space="0" w:color="auto"/>
                        </w:pBdr>
                        <w:rPr>
                          <w:b w:val="0"/>
                          <w:sz w:val="17"/>
                          <w:szCs w:val="17"/>
                          <w:lang w:val="en-US"/>
                        </w:rPr>
                      </w:pPr>
                      <w:r>
                        <w:rPr>
                          <w:sz w:val="17"/>
                          <w:szCs w:val="17"/>
                          <w:lang w:val="en-US"/>
                        </w:rPr>
                        <w:t xml:space="preserve">Jennifer Moon </w:t>
                      </w:r>
                      <w:r w:rsidRPr="001C060B">
                        <w:rPr>
                          <w:b w:val="0"/>
                          <w:sz w:val="17"/>
                          <w:szCs w:val="17"/>
                          <w:lang w:val="en-US"/>
                        </w:rPr>
                        <w:t>is</w:t>
                      </w:r>
                      <w:r>
                        <w:rPr>
                          <w:b w:val="0"/>
                          <w:sz w:val="17"/>
                          <w:szCs w:val="17"/>
                          <w:lang w:val="en-US"/>
                        </w:rPr>
                        <w:t xml:space="preserve"> a professor of mathematics </w:t>
                      </w:r>
                      <w:r w:rsidR="004D522C">
                        <w:rPr>
                          <w:b w:val="0"/>
                          <w:sz w:val="17"/>
                          <w:szCs w:val="17"/>
                          <w:lang w:val="en-US"/>
                        </w:rPr>
                        <w:t>at Trinity Valley Community College</w:t>
                      </w:r>
                      <w:r w:rsidRPr="00271871">
                        <w:rPr>
                          <w:b w:val="0"/>
                          <w:sz w:val="17"/>
                          <w:szCs w:val="17"/>
                        </w:rPr>
                        <w:t>.</w:t>
                      </w:r>
                      <w:r>
                        <w:rPr>
                          <w:b w:val="0"/>
                          <w:sz w:val="17"/>
                          <w:szCs w:val="17"/>
                        </w:rPr>
                        <w:t xml:space="preserve"> </w:t>
                      </w:r>
                      <w:r w:rsidR="005D03A8">
                        <w:rPr>
                          <w:b w:val="0"/>
                          <w:sz w:val="17"/>
                          <w:szCs w:val="17"/>
                        </w:rPr>
                        <w:t>He</w:t>
                      </w:r>
                      <w:r>
                        <w:rPr>
                          <w:b w:val="0"/>
                          <w:sz w:val="17"/>
                          <w:szCs w:val="17"/>
                        </w:rPr>
                        <w:t xml:space="preserve">r primary research focuses on </w:t>
                      </w:r>
                      <w:r w:rsidR="005D03A8">
                        <w:rPr>
                          <w:b w:val="0"/>
                          <w:sz w:val="17"/>
                          <w:szCs w:val="17"/>
                        </w:rPr>
                        <w:t>inclusive mathematics education</w:t>
                      </w:r>
                      <w:r>
                        <w:rPr>
                          <w:b w:val="0"/>
                          <w:sz w:val="17"/>
                          <w:szCs w:val="17"/>
                        </w:rPr>
                        <w:t>.</w:t>
                      </w:r>
                    </w:p>
                    <w:p w14:paraId="20AB4575" w14:textId="7DF5D8AD" w:rsidR="006739F9" w:rsidRPr="004D546A" w:rsidRDefault="004D546A" w:rsidP="004D546A">
                      <w:pPr>
                        <w:pStyle w:val="TMEAuthorbio"/>
                        <w:pBdr>
                          <w:top w:val="thinThickSmallGap" w:sz="24" w:space="0" w:color="auto"/>
                        </w:pBdr>
                        <w:rPr>
                          <w:b w:val="0"/>
                          <w:sz w:val="17"/>
                          <w:szCs w:val="17"/>
                          <w:lang w:val="en-US"/>
                        </w:rPr>
                      </w:pPr>
                      <w:r>
                        <w:rPr>
                          <w:sz w:val="17"/>
                          <w:szCs w:val="17"/>
                          <w:lang w:val="en-US"/>
                        </w:rPr>
                        <w:t xml:space="preserve">Rebecca Steward </w:t>
                      </w:r>
                      <w:r w:rsidRPr="001C060B">
                        <w:rPr>
                          <w:b w:val="0"/>
                          <w:sz w:val="17"/>
                          <w:szCs w:val="17"/>
                          <w:lang w:val="en-US"/>
                        </w:rPr>
                        <w:t>is</w:t>
                      </w:r>
                      <w:r>
                        <w:rPr>
                          <w:b w:val="0"/>
                          <w:sz w:val="17"/>
                          <w:szCs w:val="17"/>
                          <w:lang w:val="en-US"/>
                        </w:rPr>
                        <w:t xml:space="preserve"> a</w:t>
                      </w:r>
                      <w:r w:rsidR="004D522C">
                        <w:rPr>
                          <w:b w:val="0"/>
                          <w:sz w:val="17"/>
                          <w:szCs w:val="17"/>
                          <w:lang w:val="en-US"/>
                        </w:rPr>
                        <w:t xml:space="preserve">n instructor </w:t>
                      </w:r>
                      <w:r>
                        <w:rPr>
                          <w:b w:val="0"/>
                          <w:sz w:val="17"/>
                          <w:szCs w:val="17"/>
                          <w:lang w:val="en-US"/>
                        </w:rPr>
                        <w:t xml:space="preserve">of mathematics at </w:t>
                      </w:r>
                      <w:r w:rsidR="004D522C">
                        <w:rPr>
                          <w:b w:val="0"/>
                          <w:sz w:val="17"/>
                          <w:szCs w:val="17"/>
                        </w:rPr>
                        <w:t>Texas A&amp;M University-Commerce</w:t>
                      </w:r>
                      <w:r w:rsidRPr="00271871">
                        <w:rPr>
                          <w:b w:val="0"/>
                          <w:sz w:val="17"/>
                          <w:szCs w:val="17"/>
                        </w:rPr>
                        <w:t>.</w:t>
                      </w:r>
                      <w:r>
                        <w:rPr>
                          <w:b w:val="0"/>
                          <w:sz w:val="17"/>
                          <w:szCs w:val="17"/>
                        </w:rPr>
                        <w:t xml:space="preserve"> Their primary research focuses on </w:t>
                      </w:r>
                      <w:r w:rsidR="004D522C">
                        <w:rPr>
                          <w:b w:val="0"/>
                          <w:sz w:val="17"/>
                          <w:szCs w:val="17"/>
                        </w:rPr>
                        <w:t>topology and mathematics education</w:t>
                      </w:r>
                      <w:r>
                        <w:rPr>
                          <w:b w:val="0"/>
                          <w:sz w:val="17"/>
                          <w:szCs w:val="17"/>
                        </w:rPr>
                        <w:t>.</w:t>
                      </w:r>
                    </w:p>
                  </w:txbxContent>
                </v:textbox>
                <w10:wrap type="square" anchorx="margin" anchory="margin"/>
              </v:shape>
            </w:pict>
          </mc:Fallback>
        </mc:AlternateContent>
      </w:r>
      <w:r w:rsidR="00ED0B20" w:rsidRPr="00DB6F67">
        <w:t>The teaching of mathematics is a political activity (Guti</w:t>
      </w:r>
      <w:r w:rsidR="00574C45" w:rsidRPr="00DB6F67">
        <w:t>é</w:t>
      </w:r>
      <w:r w:rsidR="00ED0B20" w:rsidRPr="00DB6F67">
        <w:t>rrez, 2015), but much work remains to be done on equity for mathematics teacher educators (</w:t>
      </w:r>
      <w:r w:rsidR="00574C45" w:rsidRPr="00DB6F67">
        <w:t>Gutiérrez</w:t>
      </w:r>
      <w:r w:rsidR="00ED0B20" w:rsidRPr="00DB6F67">
        <w:t xml:space="preserve">, 2009). Mathematics classrooms can be ameliorated as white institutional spaces by helping teachers examine the ways in which the traditional mathematics classroom suppresses non-dominant voices (Battey &amp; Leyva, 2016). We can help our preservice teachers begin to see mathematics as non-neutral by </w:t>
      </w:r>
      <w:r w:rsidR="00ED0B20" w:rsidRPr="00DB6F67">
        <w:lastRenderedPageBreak/>
        <w:t>exposing them to ethnomathematics, out</w:t>
      </w:r>
      <w:r w:rsidR="000B39CD" w:rsidRPr="00DB6F67">
        <w:t>-</w:t>
      </w:r>
      <w:r w:rsidR="00ED0B20" w:rsidRPr="00DB6F67">
        <w:t>of</w:t>
      </w:r>
      <w:r w:rsidR="000B39CD" w:rsidRPr="00DB6F67">
        <w:t>-</w:t>
      </w:r>
      <w:r w:rsidR="00ED0B20" w:rsidRPr="00DB6F67">
        <w:t>school mathematics, and critical mathematics (</w:t>
      </w:r>
      <w:r w:rsidR="00574C45" w:rsidRPr="00DB6F67">
        <w:t>Gutiérrez</w:t>
      </w:r>
      <w:r w:rsidR="00ED0B20" w:rsidRPr="00DB6F67">
        <w:t>, 2009).</w:t>
      </w:r>
    </w:p>
    <w:p w14:paraId="0FF17168" w14:textId="29D05F6C" w:rsidR="00FE714A" w:rsidRPr="00DB6F67" w:rsidRDefault="00FE714A" w:rsidP="00DB6F67">
      <w:pPr>
        <w:pStyle w:val="TMEBodytext"/>
      </w:pPr>
      <w:r w:rsidRPr="00DB6F67">
        <w:t>This process can begin by having pre-service teachers examine their privilege, which is defined as the advantages that accrue by virtue of being the member of a dominant group (Leonardo, 2004). In order to accomplish this and give pre-service teachers a common experience to generate discussion, we chose to implement the cultural simulation Bafa Bafa. Bafa Bafa is a cultural simulation invented by Gary Shirts in 1974 (Dukes</w:t>
      </w:r>
      <w:r w:rsidR="007808E2" w:rsidRPr="00DB6F67">
        <w:t xml:space="preserve"> et al.</w:t>
      </w:r>
      <w:r w:rsidRPr="00DB6F67">
        <w:t>, 2011).  The goal of the simulation is to help participants understand the impact culture has on the behavior of people, improving cultural awareness if not cultural competence (Dukes</w:t>
      </w:r>
      <w:r w:rsidR="00F462E3" w:rsidRPr="00DB6F67">
        <w:t xml:space="preserve"> et al.</w:t>
      </w:r>
      <w:r w:rsidRPr="00DB6F67">
        <w:t>, 2011). The simulation is designed for all participants to experience culture shock by having participants interact with a “culture” that has different communication styles and values (Dukes</w:t>
      </w:r>
      <w:r w:rsidR="00F462E3" w:rsidRPr="00DB6F67">
        <w:t xml:space="preserve"> et al.</w:t>
      </w:r>
      <w:r w:rsidRPr="00DB6F67">
        <w:t>, 2011).</w:t>
      </w:r>
    </w:p>
    <w:p w14:paraId="74366A95" w14:textId="5836271D" w:rsidR="00DB1D6C" w:rsidRPr="00DB6F67" w:rsidRDefault="00DB1D6C" w:rsidP="00DB6F67">
      <w:pPr>
        <w:pStyle w:val="TMEBodytext"/>
      </w:pPr>
      <w:r w:rsidRPr="00DB6F67">
        <w:t>Bafa Bafa generally increases students’ motivation to learn more about other cultures, but a poorly facilitated activity may actually increase participants’ feelings of ethnocentrism (Bruschke</w:t>
      </w:r>
      <w:r w:rsidR="006660A8" w:rsidRPr="00DB6F67">
        <w:t xml:space="preserve"> et al.</w:t>
      </w:r>
      <w:r w:rsidRPr="00DB6F67">
        <w:t xml:space="preserve">, 1993). However, more recent studies have shown strong positive effects on cultural awareness and cultural competence from </w:t>
      </w:r>
      <w:r w:rsidR="00C37924" w:rsidRPr="00DB6F67">
        <w:t>participants</w:t>
      </w:r>
      <w:r w:rsidRPr="00DB6F67">
        <w:t xml:space="preserve"> in the Bafa Bafa simulation (Wendorf</w:t>
      </w:r>
      <w:r w:rsidR="00C37924" w:rsidRPr="00DB6F67">
        <w:t xml:space="preserve"> </w:t>
      </w:r>
      <w:r w:rsidRPr="00DB6F67">
        <w:t>Muhamad &amp; Yang, 2019). Participants self-report a positive change in cultural awareness, but facilitators are warned to be prepared for strong reactions from some students (Sullivan &amp; Duplaga, 1997). Bafa Bafa has generally been shown to be an effective tool for increasing cultural competency in public facing fields, such as nursing (Jarrell</w:t>
      </w:r>
      <w:r w:rsidR="00E87D7F" w:rsidRPr="00DB6F67">
        <w:t xml:space="preserve"> et al.</w:t>
      </w:r>
      <w:r w:rsidRPr="00DB6F67">
        <w:t>, 2008), music therapy (</w:t>
      </w:r>
      <w:r w:rsidRPr="003F00AA">
        <w:t>Donley, 2020</w:t>
      </w:r>
      <w:r w:rsidRPr="00DB6F67">
        <w:t>), and psychology (Akimoto, 2016). Donley (2018) argues that the three stages to increasing cultural competence are self-examination, knowledge acquisition, and skill development and that Bafa Bafa is effective because it provides a scaffolded opportunity for self-reflection.</w:t>
      </w:r>
    </w:p>
    <w:p w14:paraId="33968CE7" w14:textId="08A4DC82" w:rsidR="00DB1D6C" w:rsidRPr="00DB6F67" w:rsidRDefault="00DB1D6C" w:rsidP="00DB6F67">
      <w:pPr>
        <w:pStyle w:val="TMEBodytext"/>
      </w:pPr>
      <w:r w:rsidRPr="00DB6F67">
        <w:t>This self-reflection is needed because we cannot ignore the potentially negative stereotypes pre-service teachers may hold (McGee &amp; Martin, 2011) and need to guide pre-service teachers to see that all households have culturally developed bodies of skills that contribute to the knowledge base (Civil, 2007). Ethnomathematics in pre</w:t>
      </w:r>
      <w:r w:rsidR="007C4A14" w:rsidRPr="00DB6F67">
        <w:t>-</w:t>
      </w:r>
      <w:r w:rsidRPr="00DB6F67">
        <w:t xml:space="preserve">service teacher classes could help </w:t>
      </w:r>
      <w:r w:rsidRPr="00DB6F67">
        <w:lastRenderedPageBreak/>
        <w:t>students examine their privilege by seeing other cultures featured in the mathematics classroom besides the dominant one (Paris, 2012). This is crucial because current pre-service teachers are underprepared to teach in diverse classrooms (Roose</w:t>
      </w:r>
      <w:r w:rsidR="007C4A14" w:rsidRPr="00DB6F67">
        <w:t xml:space="preserve"> et al.</w:t>
      </w:r>
      <w:r w:rsidRPr="00DB6F67">
        <w:t>, 2019; Taylor</w:t>
      </w:r>
      <w:r w:rsidR="001E51A5" w:rsidRPr="00DB6F67">
        <w:t xml:space="preserve"> et al.</w:t>
      </w:r>
      <w:r w:rsidRPr="00DB6F67">
        <w:t xml:space="preserve">, 2016; Whitaker &amp; </w:t>
      </w:r>
      <w:r w:rsidR="00E244DA">
        <w:t>V</w:t>
      </w:r>
      <w:r w:rsidRPr="00DB6F67">
        <w:t>alt</w:t>
      </w:r>
      <w:r w:rsidR="00E244DA">
        <w:t>i</w:t>
      </w:r>
      <w:r w:rsidRPr="00DB6F67">
        <w:t xml:space="preserve">erra, 2018), and may hold unproductive, deficit-centered views of equity, such as attributing student achievement or lack thereof to characteristics of students’ culture (McKenzie &amp; Phillips, 2016; </w:t>
      </w:r>
      <w:r w:rsidRPr="00236338">
        <w:t>Turner et al., 201</w:t>
      </w:r>
      <w:r w:rsidR="00236338">
        <w:t>2</w:t>
      </w:r>
      <w:r w:rsidRPr="00DB6F67">
        <w:t>). By preparing future teachers for diverse classrooms, we can begin to help departments gain the personnel and eventual leadership to advocate for the advancement of all students (</w:t>
      </w:r>
      <w:r w:rsidR="00574C45" w:rsidRPr="00DB6F67">
        <w:t>Gutiérrez</w:t>
      </w:r>
      <w:r w:rsidRPr="00DB6F67">
        <w:t>, 1996).</w:t>
      </w:r>
    </w:p>
    <w:p w14:paraId="2234A48E" w14:textId="2D6896ED" w:rsidR="00DB1D6C" w:rsidRPr="00DB6F67" w:rsidRDefault="00DB1D6C" w:rsidP="00DB6F67">
      <w:pPr>
        <w:pStyle w:val="TMEBodytext"/>
      </w:pPr>
      <w:r w:rsidRPr="00DB6F67">
        <w:t>There are several challenges with implementing an equity focus in the classroom. There is the potential for creating an emotionally heated space and avoiding uncomfortable emotions may lead to only a surface treatment of equity (Battey &amp; Leyva, 2016). Whe</w:t>
      </w:r>
      <w:r w:rsidR="00A94584" w:rsidRPr="00DB6F67">
        <w:t>n</w:t>
      </w:r>
      <w:r w:rsidRPr="00DB6F67">
        <w:t xml:space="preserve"> equity is treated as a surface issue, there is the danger of pre-service teachers leaving with the belief that racism is located within a few prejudiced individuals (Battey &amp; Leyva, 2016). Reflection assignments and mathematical autobiographies might be of limited efficacy to change students’ beliefs (</w:t>
      </w:r>
      <w:r w:rsidR="00574C45" w:rsidRPr="00DB6F67">
        <w:t>Gutiérrez</w:t>
      </w:r>
      <w:r w:rsidRPr="00DB6F67">
        <w:t>, 2015), and white students may struggle to analyze their experiences through a racial lens, often raising unproductive white guilt (Leonardo, 2004).</w:t>
      </w:r>
    </w:p>
    <w:p w14:paraId="190068BC" w14:textId="506FF5AE" w:rsidR="00DB1D6C" w:rsidRPr="00DB6F67" w:rsidRDefault="00DB1D6C" w:rsidP="00DB6F67">
      <w:pPr>
        <w:pStyle w:val="TMEBodytext"/>
      </w:pPr>
      <w:r w:rsidRPr="00DB6F67">
        <w:t>Stand-alone multicultural education and diversity courses are not effective, particularly for pre-service STEM teachers (</w:t>
      </w:r>
      <w:r w:rsidRPr="00D8651D">
        <w:t>Barton, 2000</w:t>
      </w:r>
      <w:r w:rsidRPr="00DB6F67">
        <w:t xml:space="preserve">; </w:t>
      </w:r>
      <w:r w:rsidR="00934128">
        <w:t xml:space="preserve">Jenks et al., 2001; </w:t>
      </w:r>
      <w:r w:rsidRPr="00DB6F67">
        <w:t>Krummel, 2013; Ladson-Billings, 2000). This suggests that multicultural standards should be integrated throughout each content area, helping pre-service teachers better understand the issues of diversity within the context of their content and teaching them how to create a more culturally responsive pedagogy, a more culturally diverse curriculum, and a more culturally aware style of relating to students (Krummel, 2013; Ladson-Billings, 2000). However, when multicultural topics are addressed in STEM teacher education courses, they are often engaged only at surface levels because race and culture remain taboo topics in the United States (</w:t>
      </w:r>
      <w:r w:rsidR="00934128">
        <w:t xml:space="preserve">Jenks et al., 2001; </w:t>
      </w:r>
      <w:r w:rsidRPr="00DB6F67">
        <w:t>Krummel, 2013). Classroom modeling of culturally relevant activities and experiences prepares pre-</w:t>
      </w:r>
      <w:r w:rsidRPr="00DB6F67">
        <w:lastRenderedPageBreak/>
        <w:t>service teachers to provide engaging learning experiences for their own students (</w:t>
      </w:r>
      <w:r w:rsidRPr="0048019B">
        <w:t>d’Entremont, 201</w:t>
      </w:r>
      <w:r w:rsidR="0048019B">
        <w:t>5</w:t>
      </w:r>
      <w:r w:rsidRPr="00DB6F67">
        <w:t>).</w:t>
      </w:r>
    </w:p>
    <w:p w14:paraId="0FEF4BD7" w14:textId="204ADAB3" w:rsidR="00DB1D6C" w:rsidRPr="00DB6F67" w:rsidRDefault="00DB1D6C" w:rsidP="00DB6F67">
      <w:pPr>
        <w:pStyle w:val="TMEBodytext"/>
      </w:pPr>
      <w:r w:rsidRPr="00DB6F67">
        <w:t>Given that reflection papers and mathematical autobiographies are more to inform the teacher educator than they are effective equity exercises in their own right, there are a few characteristics of activities that may be effective for pre-service teachers. First, there should be an emerging awareness of stereotype threat, a situational predicament in which people are or feel themselves to be at risk of conforming to stereotypes about their social group, and how to manage it, particularly in the area of micro-aggressions</w:t>
      </w:r>
      <w:r w:rsidR="00624CBB" w:rsidRPr="00DB6F67">
        <w:t>. A micro-aggression</w:t>
      </w:r>
      <w:r w:rsidRPr="00DB6F67">
        <w:t xml:space="preserve"> </w:t>
      </w:r>
      <w:r w:rsidR="00624CBB" w:rsidRPr="00DB6F67">
        <w:t xml:space="preserve">is </w:t>
      </w:r>
      <w:r w:rsidRPr="00DB6F67">
        <w:t>a statement, action, or incident regarded as an instance of indirect, subtle, or unintentional discrimination against members of a marginalized group such as a racial or ethnic minority (McGee &amp; Martin, 2011). Also, pre-service teachers should move beyond reading about students who were othered to experiencing what it is like to be othered in society (</w:t>
      </w:r>
      <w:r w:rsidR="00574C45" w:rsidRPr="00DB6F67">
        <w:t>Gutiérrez</w:t>
      </w:r>
      <w:r w:rsidRPr="00DB6F67">
        <w:t>, 2015). For this reason, we decided to infuse ethnomathematics activities into a History of Mathematics course for pre-service teachers in an area of the country known for racial tensions. The activity we chose to implement first was Bafa Bafa, a cultural simulation.</w:t>
      </w:r>
    </w:p>
    <w:p w14:paraId="54D34BD9" w14:textId="1677EC34" w:rsidR="00ED0B20" w:rsidRPr="008A1B38" w:rsidRDefault="00DB1D6C" w:rsidP="00DB6F67">
      <w:pPr>
        <w:pStyle w:val="TMEBodytext"/>
        <w:rPr>
          <w:rStyle w:val="None"/>
          <w:sz w:val="24"/>
          <w:lang w:val="en-AU"/>
        </w:rPr>
      </w:pPr>
      <w:r w:rsidRPr="00DB6F67">
        <w:t>The purpose of our initial intervention was to see how effective this activity would be as an initial equity activity for pre-service middle school mathematics teachers. The research question for this study was: To what extent was the Bafa Bafa simulation effective in creating a catalyst for change in our pre-service teachers beliefs? For our students, we argue this activity was uncomfortable, but not unsafe, and led to productive discussions and realizations later in the semester.</w:t>
      </w:r>
    </w:p>
    <w:p w14:paraId="5B51C595" w14:textId="77777777" w:rsidR="008A1B38" w:rsidRPr="008A1B38" w:rsidRDefault="008A1B38" w:rsidP="008A1B38">
      <w:pPr>
        <w:pStyle w:val="Heading1"/>
        <w:rPr>
          <w:rFonts w:eastAsia="Calibri"/>
        </w:rPr>
      </w:pPr>
      <w:r w:rsidRPr="008A1B38">
        <w:rPr>
          <w:rFonts w:eastAsia="Calibri"/>
        </w:rPr>
        <w:t>Background</w:t>
      </w:r>
    </w:p>
    <w:p w14:paraId="3B9F8987" w14:textId="6C83978D" w:rsidR="008A1B38" w:rsidRPr="008A1B38" w:rsidRDefault="008A1B38" w:rsidP="005E7A10">
      <w:pPr>
        <w:pStyle w:val="TMEBodytext"/>
      </w:pPr>
      <w:r w:rsidRPr="008A1B38">
        <w:t>The History of Mathematics course was chosen as the pilot course for this intervention to increase pre-service teachers’ intercultural awareness because of the natural interplay between students’ cultural experiences and the history of mathematics; this course invites students to talk about content-specific cultural responsiveness and how to implement it in their future classrooms (</w:t>
      </w:r>
      <w:r w:rsidRPr="009319FB">
        <w:t>Averill et al., 2009; Spader, 2015</w:t>
      </w:r>
      <w:r w:rsidRPr="008A1B38">
        <w:t xml:space="preserve">). Further, the </w:t>
      </w:r>
      <w:r w:rsidRPr="008A1B38">
        <w:lastRenderedPageBreak/>
        <w:t>course at the research university is a terminal course with no set content to cover, so we had the luxury to make the choice to cover material in great depth and add an ethnomathematics component to the course without sacrificing needed content in a future course.</w:t>
      </w:r>
    </w:p>
    <w:p w14:paraId="726BC44D" w14:textId="42C97BF9" w:rsidR="008A1B38" w:rsidRPr="008A1B38" w:rsidRDefault="008A1B38" w:rsidP="005E7A10">
      <w:pPr>
        <w:pStyle w:val="TMEBodytext"/>
      </w:pPr>
      <w:r w:rsidRPr="008A1B38">
        <w:t>History of Mathematics, an upper-level content course, has an advantage over a stand-alone multicultural class because students are likely to have an established classroom community, particularly in smaller teacher preparation programs. This sense of classroom community is a major predictive factor of student success (</w:t>
      </w:r>
      <w:r w:rsidRPr="00450FA8">
        <w:t>Bahr</w:t>
      </w:r>
      <w:r w:rsidR="00C634E4" w:rsidRPr="00450FA8">
        <w:t xml:space="preserve"> et al.</w:t>
      </w:r>
      <w:r w:rsidRPr="00450FA8">
        <w:t xml:space="preserve">, 2013; </w:t>
      </w:r>
      <w:r w:rsidR="00F032C1" w:rsidRPr="00450FA8">
        <w:t>McKinney</w:t>
      </w:r>
      <w:r w:rsidRPr="00450FA8">
        <w:t xml:space="preserve"> et al., 2006</w:t>
      </w:r>
      <w:r w:rsidRPr="008A1B38">
        <w:t>), and it is especially important for non-traditional and transfer students (Hehir, 2017; Town</w:t>
      </w:r>
      <w:r w:rsidR="0097345C">
        <w:t>l</w:t>
      </w:r>
      <w:r w:rsidRPr="008A1B38">
        <w:t>ey et al., 2013). Students who experience success in a mathematics classroom report feeling like a part of a classroom community, and they internalize those successful classroom norms as representing the ideal mathematics classroom (Ulriksen</w:t>
      </w:r>
      <w:r w:rsidR="0097345C">
        <w:t xml:space="preserve"> et al.</w:t>
      </w:r>
      <w:r w:rsidRPr="008A1B38">
        <w:t>, 2015). Students’ perceptions of the strength of their classroom community are closely correlated with their perceptions of intellectual growth over the course (</w:t>
      </w:r>
      <w:r w:rsidRPr="00F032C1">
        <w:t>Bahr</w:t>
      </w:r>
      <w:r w:rsidR="00D52D58" w:rsidRPr="00F032C1">
        <w:t xml:space="preserve"> et al.</w:t>
      </w:r>
      <w:r w:rsidRPr="00F032C1">
        <w:t>, 2013; McKinney et al., 2006</w:t>
      </w:r>
      <w:r w:rsidRPr="008A1B38">
        <w:t>). However, in mathematics classes, classroom communities are often based upon content authority (Lewis, 2016), and this can cause difficulties when other kinds of authority need to be valued in the discussion (</w:t>
      </w:r>
      <w:r w:rsidRPr="00F032C1">
        <w:t>Langer-Osuna &amp; Engle, 2010</w:t>
      </w:r>
      <w:r w:rsidRPr="008A1B38">
        <w:t>).</w:t>
      </w:r>
    </w:p>
    <w:p w14:paraId="2B56AA05" w14:textId="77777777" w:rsidR="008A1B38" w:rsidRPr="008A1B38" w:rsidRDefault="008A1B38" w:rsidP="008A1B38">
      <w:pPr>
        <w:pStyle w:val="Heading1"/>
        <w:rPr>
          <w:rFonts w:eastAsia="Batang"/>
          <w:noProof/>
        </w:rPr>
      </w:pPr>
      <w:r w:rsidRPr="008A1B38">
        <w:rPr>
          <w:rFonts w:eastAsia="Batang"/>
          <w:noProof/>
        </w:rPr>
        <w:t>Argument for and Description of Bafa Bafa</w:t>
      </w:r>
    </w:p>
    <w:p w14:paraId="4BF2925C" w14:textId="10A9F1BF" w:rsidR="008A1B38" w:rsidRPr="008A1B38" w:rsidRDefault="008A1B38" w:rsidP="008A1B38">
      <w:pPr>
        <w:pStyle w:val="TMEBodytext"/>
      </w:pPr>
      <w:r w:rsidRPr="008A1B38">
        <w:t xml:space="preserve">To help our pre-service teachers understand how students who are underrepresented in the mathematics classroom experience a dominant culture, we conducted a three-part activity in </w:t>
      </w:r>
      <w:r w:rsidR="008F5FC2">
        <w:t>the</w:t>
      </w:r>
      <w:r w:rsidRPr="008A1B38">
        <w:t xml:space="preserve"> </w:t>
      </w:r>
      <w:r w:rsidR="008F5FC2">
        <w:t>H</w:t>
      </w:r>
      <w:r w:rsidRPr="008A1B38">
        <w:t xml:space="preserve">istory of </w:t>
      </w:r>
      <w:r w:rsidR="008F5FC2">
        <w:t>M</w:t>
      </w:r>
      <w:r w:rsidRPr="008A1B38">
        <w:t>athematics class. First, we conducted a modified version of the Bafa Bafa simulation in class, including a debriefing discussion. This simulation is described later in this section. Second, we had students read Boysen (2012) and Sue</w:t>
      </w:r>
      <w:r w:rsidR="00604287">
        <w:t xml:space="preserve"> </w:t>
      </w:r>
      <w:r w:rsidR="007238D6">
        <w:t xml:space="preserve">et al. </w:t>
      </w:r>
      <w:r w:rsidRPr="008A1B38">
        <w:t>(2009), both of which are readings about microaggressions. We then asked students to write a paper reflecting upon the reading</w:t>
      </w:r>
      <w:r w:rsidR="004D3B26">
        <w:t>s</w:t>
      </w:r>
      <w:r w:rsidRPr="008A1B38">
        <w:t xml:space="preserve">, Bafa Bafa, and their personal experiences in classrooms. The final part of the paper was to </w:t>
      </w:r>
      <w:r w:rsidRPr="008A1B38">
        <w:lastRenderedPageBreak/>
        <w:t>outline what they could do in their own classroom to minimize micro-aggressions.</w:t>
      </w:r>
    </w:p>
    <w:p w14:paraId="0C5FFE96" w14:textId="0655A4AA" w:rsidR="008A1B38" w:rsidRPr="008A1B38" w:rsidRDefault="008A1B38" w:rsidP="008A1B38">
      <w:pPr>
        <w:pStyle w:val="TMEBodytext"/>
      </w:pPr>
      <w:r w:rsidRPr="008A1B38">
        <w:t xml:space="preserve">There were two reasons we chose to implement Bafa Bafa. First, many of our students </w:t>
      </w:r>
      <w:r w:rsidR="004D3B26">
        <w:t>were</w:t>
      </w:r>
      <w:r w:rsidRPr="008A1B38">
        <w:t xml:space="preserve"> </w:t>
      </w:r>
      <w:r w:rsidR="00197807">
        <w:t xml:space="preserve">from </w:t>
      </w:r>
      <w:r w:rsidRPr="008A1B38">
        <w:t>rural</w:t>
      </w:r>
      <w:r w:rsidR="00197807">
        <w:t xml:space="preserve"> areas</w:t>
      </w:r>
      <w:r w:rsidRPr="008A1B38">
        <w:t xml:space="preserve"> and ha</w:t>
      </w:r>
      <w:r w:rsidR="004D3B26">
        <w:t>d</w:t>
      </w:r>
      <w:r w:rsidRPr="008A1B38">
        <w:t xml:space="preserve"> limited experience interacting with people outside of their community. Second, we wanted to have a common experience for students to hopefully generate discussion. There </w:t>
      </w:r>
      <w:r w:rsidR="004D3B26">
        <w:t>were</w:t>
      </w:r>
      <w:r w:rsidRPr="008A1B38">
        <w:t xml:space="preserve"> several reasons why we chose to implement this activity in a </w:t>
      </w:r>
      <w:r w:rsidR="00197807">
        <w:t>History of Mathematics course</w:t>
      </w:r>
      <w:r w:rsidR="004D3B26">
        <w:t xml:space="preserve"> </w:t>
      </w:r>
      <w:r w:rsidRPr="008A1B38">
        <w:t>for pre-service middle school teachers. There is a large and growing diversity gap between the teaching population and their students (Boser, 2014). Since students are more likely to opt for pathways when they have teachers that they relate to (Wyss</w:t>
      </w:r>
      <w:r w:rsidR="003D4B25">
        <w:t xml:space="preserve"> et al.</w:t>
      </w:r>
      <w:r w:rsidRPr="008A1B38">
        <w:t xml:space="preserve">, 2012), we hoped to use this activity to introduce ethnomathematics and culturally responsive teaching. History of Mathematics seemed to be a natural fit since there already was a cultural element in the course. Since this course was co-taught by the first two authors, </w:t>
      </w:r>
      <w:r w:rsidR="003B4D68">
        <w:t xml:space="preserve">who are </w:t>
      </w:r>
      <w:r w:rsidRPr="008A1B38">
        <w:t>both mathematics educators, we hoped that students would be more likely to respond to this cultural simulation and other activities from us than they would in a more traditionally-taught course.</w:t>
      </w:r>
    </w:p>
    <w:p w14:paraId="472FC6E7" w14:textId="2953266C" w:rsidR="008A1B38" w:rsidRPr="008A1B38" w:rsidRDefault="008A1B38" w:rsidP="008A1B38">
      <w:pPr>
        <w:pStyle w:val="TMEBodytext"/>
      </w:pPr>
      <w:r w:rsidRPr="008A1B38">
        <w:t xml:space="preserve">During the simulation, students </w:t>
      </w:r>
      <w:r w:rsidR="003B4D68">
        <w:t>we</w:t>
      </w:r>
      <w:r w:rsidRPr="008A1B38">
        <w:t xml:space="preserve">re first divided into two groups, where each group is taken out of earshot of the other group. In our case we used the classroom and the hallway. Although Dibbs was the instructor of record for this course, Lewis was the main facilitator for this and all other ethnomathematics activities. Once separated, each group </w:t>
      </w:r>
      <w:r w:rsidR="003B4D68">
        <w:t>wa</w:t>
      </w:r>
      <w:r w:rsidRPr="008A1B38">
        <w:t>s given a handout of the Alpha</w:t>
      </w:r>
      <w:r w:rsidR="003B4D68">
        <w:t xml:space="preserve"> culture</w:t>
      </w:r>
      <w:r w:rsidRPr="008A1B38">
        <w:t xml:space="preserve"> or </w:t>
      </w:r>
      <w:r w:rsidR="003B4D68">
        <w:t xml:space="preserve">the </w:t>
      </w:r>
      <w:r w:rsidRPr="008A1B38">
        <w:t xml:space="preserve">Beta culture and explained that they </w:t>
      </w:r>
      <w:r w:rsidR="004D3B26">
        <w:t>were</w:t>
      </w:r>
      <w:r w:rsidRPr="008A1B38">
        <w:t xml:space="preserve"> now members of the culture. To simulate the economy of the culture, students </w:t>
      </w:r>
      <w:r w:rsidR="004D3B26">
        <w:t>played</w:t>
      </w:r>
      <w:r w:rsidRPr="008A1B38">
        <w:t xml:space="preserve"> a card game according to the values of each culture.</w:t>
      </w:r>
    </w:p>
    <w:p w14:paraId="6D3538F4" w14:textId="1628536A" w:rsidR="008A1B38" w:rsidRPr="008A1B38" w:rsidRDefault="008A1B38" w:rsidP="008A1B38">
      <w:pPr>
        <w:pStyle w:val="TMEBodytext"/>
      </w:pPr>
      <w:r w:rsidRPr="008A1B38">
        <w:t xml:space="preserve">The Alpha culture </w:t>
      </w:r>
      <w:r w:rsidR="004D3B26">
        <w:t>wa</w:t>
      </w:r>
      <w:r w:rsidRPr="008A1B38">
        <w:t xml:space="preserve">s intended to be hierarchical and family oriented. Some students </w:t>
      </w:r>
      <w:r w:rsidR="004D3B26">
        <w:t>were</w:t>
      </w:r>
      <w:r w:rsidRPr="008A1B38">
        <w:t xml:space="preserve"> randomly designated as elders and must be treated with respect by bowing to them. The elders </w:t>
      </w:r>
      <w:r w:rsidR="004D3B26">
        <w:t>were</w:t>
      </w:r>
      <w:r w:rsidRPr="008A1B38">
        <w:t xml:space="preserve"> denoted by a small sticker on their name tag. In this group, students </w:t>
      </w:r>
      <w:r w:rsidR="004D3B26">
        <w:t>were</w:t>
      </w:r>
      <w:r w:rsidRPr="008A1B38">
        <w:t xml:space="preserve"> told that their goal </w:t>
      </w:r>
      <w:r w:rsidR="004D3B26">
        <w:t>wa</w:t>
      </w:r>
      <w:r w:rsidRPr="008A1B38">
        <w:t xml:space="preserve">s to make sets of three matching cards, and that they could trade cards with other students to make sets. To trade, students </w:t>
      </w:r>
      <w:r w:rsidR="004D3B26">
        <w:t>were</w:t>
      </w:r>
      <w:r w:rsidRPr="008A1B38">
        <w:t xml:space="preserve"> told to say “Bafa Bafa”, a respectful greeting in their culture, and then trade a pair of cards. The whole group would earn a small amount of extra </w:t>
      </w:r>
      <w:r w:rsidRPr="008A1B38">
        <w:lastRenderedPageBreak/>
        <w:t>credit for each matching set the group managed to make during the time allowed. The Alpha culture also believe</w:t>
      </w:r>
      <w:r w:rsidR="004D3B26">
        <w:t>d</w:t>
      </w:r>
      <w:r w:rsidRPr="008A1B38">
        <w:t xml:space="preserve"> in personal contact, so students should stand close to each other and touch the shoulder of the other person when interacting with the person of the same gender.</w:t>
      </w:r>
    </w:p>
    <w:p w14:paraId="263714AB" w14:textId="510E72B6" w:rsidR="008A1B38" w:rsidRDefault="008A1B38" w:rsidP="008A1B38">
      <w:pPr>
        <w:pStyle w:val="TMEBodytext"/>
      </w:pPr>
      <w:r w:rsidRPr="008A1B38">
        <w:t xml:space="preserve">The Beta culture </w:t>
      </w:r>
      <w:r w:rsidR="004D3B26">
        <w:t>was</w:t>
      </w:r>
      <w:r w:rsidRPr="008A1B38">
        <w:t xml:space="preserve"> intended to be competitive and individualistic.</w:t>
      </w:r>
      <w:r w:rsidR="00257E1D">
        <w:t xml:space="preserve"> N</w:t>
      </w:r>
      <w:r w:rsidRPr="008A1B38">
        <w:t>o students</w:t>
      </w:r>
      <w:r w:rsidR="00257E1D">
        <w:t xml:space="preserve"> </w:t>
      </w:r>
      <w:r w:rsidR="004D3B26">
        <w:t>were</w:t>
      </w:r>
      <w:r w:rsidRPr="008A1B38">
        <w:t xml:space="preserve"> designated as elders, and they </w:t>
      </w:r>
      <w:r w:rsidR="004D3B26">
        <w:t>were</w:t>
      </w:r>
      <w:r w:rsidRPr="008A1B38">
        <w:t xml:space="preserve"> told that the phrase “Bafa Bafa” is an insult. Students </w:t>
      </w:r>
      <w:r w:rsidR="004D3B26">
        <w:t>were</w:t>
      </w:r>
      <w:r w:rsidRPr="008A1B38">
        <w:t xml:space="preserve"> told that the goal of the card game </w:t>
      </w:r>
      <w:r w:rsidR="004D3B26">
        <w:t>was</w:t>
      </w:r>
      <w:r w:rsidRPr="008A1B38">
        <w:t xml:space="preserve"> to make as many matched sets as possible, and that the three students who ma</w:t>
      </w:r>
      <w:r w:rsidR="004D3B26">
        <w:t>de</w:t>
      </w:r>
      <w:r w:rsidRPr="008A1B38">
        <w:t xml:space="preserve"> the most matched sets will receive extra credit. To trade cards, two students in the Beta culture would show each other one card in their hand.  If a student ha</w:t>
      </w:r>
      <w:r w:rsidR="004D3B26">
        <w:t>d</w:t>
      </w:r>
      <w:r w:rsidRPr="008A1B38">
        <w:t xml:space="preserve"> a card in their hand that matches the card the other student showed, they must give those cards to the other student. Sets of three matching cards </w:t>
      </w:r>
      <w:r w:rsidR="004D3B26">
        <w:t>were</w:t>
      </w:r>
      <w:r w:rsidRPr="008A1B38">
        <w:t xml:space="preserve"> given to the facilitator and recorded. The Beta culture does not engage in physical contact in public. The Beta culture </w:t>
      </w:r>
      <w:r w:rsidR="004D3B26">
        <w:t>was</w:t>
      </w:r>
      <w:r w:rsidRPr="008A1B38">
        <w:t xml:space="preserve"> also rules</w:t>
      </w:r>
      <w:r w:rsidR="004D3B26">
        <w:t>-</w:t>
      </w:r>
      <w:r w:rsidRPr="008A1B38">
        <w:t>driven, so when students ma</w:t>
      </w:r>
      <w:r w:rsidR="004D3B26">
        <w:t>de</w:t>
      </w:r>
      <w:r w:rsidRPr="008A1B38">
        <w:t xml:space="preserve"> a mistake (such as not showing a card when trading or making physical contact), </w:t>
      </w:r>
      <w:r w:rsidR="004D3B26">
        <w:t>they were</w:t>
      </w:r>
      <w:r w:rsidRPr="008A1B38">
        <w:t xml:space="preserve"> given a sticker to put on </w:t>
      </w:r>
      <w:r w:rsidR="004D3B26">
        <w:t>their</w:t>
      </w:r>
      <w:r w:rsidRPr="008A1B38">
        <w:t xml:space="preserve"> name tag to signal that </w:t>
      </w:r>
      <w:r w:rsidR="004D3B26">
        <w:t>they</w:t>
      </w:r>
      <w:r w:rsidRPr="008A1B38">
        <w:t xml:space="preserve"> broke a rule. No Beta would talk or speak to a person who had three stickers on their name tag. Table 1 summarizes the differences between the Alpha and Beta cultures.</w:t>
      </w:r>
    </w:p>
    <w:p w14:paraId="3FC98E58" w14:textId="77777777" w:rsidR="00612EB4" w:rsidRPr="00A56DFC" w:rsidRDefault="00612EB4" w:rsidP="00612EB4">
      <w:pPr>
        <w:pStyle w:val="TMELabeltablefigure"/>
      </w:pPr>
      <w:r w:rsidRPr="000A1C89">
        <w:t>Table 1</w:t>
      </w:r>
    </w:p>
    <w:p w14:paraId="4402051A" w14:textId="735B6EB1" w:rsidR="008A1B38" w:rsidRPr="0088150D" w:rsidRDefault="00612EB4" w:rsidP="00612EB4">
      <w:pPr>
        <w:pStyle w:val="TMECaptiontablefigure"/>
      </w:pPr>
      <w:r w:rsidRPr="00612EB4">
        <w:t>Differences Between Alpha and Beta Cultures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2813"/>
      </w:tblGrid>
      <w:tr w:rsidR="008A1B38" w:rsidRPr="008A1B38" w14:paraId="5DC86644" w14:textId="77777777" w:rsidTr="004C533C">
        <w:tc>
          <w:tcPr>
            <w:tcW w:w="4675" w:type="dxa"/>
            <w:tcBorders>
              <w:top w:val="single" w:sz="4" w:space="0" w:color="auto"/>
              <w:bottom w:val="single" w:sz="4" w:space="0" w:color="auto"/>
            </w:tcBorders>
          </w:tcPr>
          <w:p w14:paraId="1C8A8A11" w14:textId="77777777" w:rsidR="008A1B38" w:rsidRPr="008A1B38" w:rsidRDefault="008A1B38" w:rsidP="008A1B38">
            <w:pPr>
              <w:pStyle w:val="TMETablecells"/>
              <w:rPr>
                <w:b/>
                <w:bCs/>
              </w:rPr>
            </w:pPr>
            <w:r w:rsidRPr="008A1B38">
              <w:rPr>
                <w:b/>
                <w:bCs/>
              </w:rPr>
              <w:t>Alpha</w:t>
            </w:r>
          </w:p>
        </w:tc>
        <w:tc>
          <w:tcPr>
            <w:tcW w:w="4675" w:type="dxa"/>
            <w:tcBorders>
              <w:top w:val="single" w:sz="4" w:space="0" w:color="auto"/>
              <w:bottom w:val="single" w:sz="4" w:space="0" w:color="auto"/>
            </w:tcBorders>
          </w:tcPr>
          <w:p w14:paraId="09DF7CEE" w14:textId="77777777" w:rsidR="008A1B38" w:rsidRPr="008A1B38" w:rsidRDefault="008A1B38" w:rsidP="008A1B38">
            <w:pPr>
              <w:pStyle w:val="TMETablecells"/>
              <w:rPr>
                <w:b/>
                <w:bCs/>
              </w:rPr>
            </w:pPr>
            <w:r w:rsidRPr="008A1B38">
              <w:rPr>
                <w:b/>
                <w:bCs/>
              </w:rPr>
              <w:t>Beta</w:t>
            </w:r>
          </w:p>
        </w:tc>
      </w:tr>
      <w:tr w:rsidR="008A1B38" w:rsidRPr="008A1B38" w14:paraId="2D0F735B" w14:textId="77777777" w:rsidTr="004C533C">
        <w:tc>
          <w:tcPr>
            <w:tcW w:w="4675" w:type="dxa"/>
            <w:tcBorders>
              <w:top w:val="single" w:sz="4" w:space="0" w:color="auto"/>
            </w:tcBorders>
          </w:tcPr>
          <w:p w14:paraId="6C081432" w14:textId="2A6F5096" w:rsidR="008A1B38" w:rsidRPr="008A1B38" w:rsidRDefault="008A1B38" w:rsidP="008A1B38">
            <w:pPr>
              <w:pStyle w:val="TMETablecells"/>
            </w:pPr>
            <w:r w:rsidRPr="008A1B38">
              <w:t>Hierarchical, Family oriented, Touch culture, Cooperative, Non-competitive</w:t>
            </w:r>
            <w:r w:rsidR="00C73E60">
              <w:t>,</w:t>
            </w:r>
            <w:r w:rsidRPr="008A1B38">
              <w:t xml:space="preserve"> Close personal space. Bafa Bafa is a respectful greeting.</w:t>
            </w:r>
          </w:p>
        </w:tc>
        <w:tc>
          <w:tcPr>
            <w:tcW w:w="4675" w:type="dxa"/>
            <w:tcBorders>
              <w:top w:val="single" w:sz="4" w:space="0" w:color="auto"/>
            </w:tcBorders>
          </w:tcPr>
          <w:p w14:paraId="0CFBA5AC" w14:textId="77777777" w:rsidR="008A1B38" w:rsidRPr="008A1B38" w:rsidRDefault="008A1B38" w:rsidP="008A1B38">
            <w:pPr>
              <w:pStyle w:val="TMETablecells"/>
            </w:pPr>
            <w:r w:rsidRPr="008A1B38">
              <w:t>Competitive, Meritocracy, Flat non-hierarchical, In-group out-group, Respect only for achievement, Values negotiation, Values a trading language. Bafa Bafa is a terrible insult</w:t>
            </w:r>
          </w:p>
        </w:tc>
      </w:tr>
    </w:tbl>
    <w:p w14:paraId="44C9228E" w14:textId="77777777" w:rsidR="008A1B38" w:rsidRPr="008A1B38" w:rsidRDefault="008A1B38" w:rsidP="008A1B38">
      <w:pPr>
        <w:pStyle w:val="TMEBodytext"/>
        <w:ind w:firstLine="0"/>
      </w:pPr>
    </w:p>
    <w:p w14:paraId="652F991D" w14:textId="591D7A8E" w:rsidR="008A1B38" w:rsidRPr="008A1B38" w:rsidRDefault="008A1B38" w:rsidP="008A1B38">
      <w:pPr>
        <w:pStyle w:val="TMEBodytext"/>
      </w:pPr>
      <w:r w:rsidRPr="008A1B38">
        <w:t xml:space="preserve">To prepare for Bafa Bafa, we </w:t>
      </w:r>
      <w:r w:rsidR="00C73E60">
        <w:t>made</w:t>
      </w:r>
      <w:r w:rsidRPr="008A1B38">
        <w:t xml:space="preserve"> four copies of a free set of cards for Go Fish to use as resources for students to trade with each other. We also made a set of nametags for students to wear and cut strips of stickers for the students in the Beta culture to hand out to other people who violated norms. Finally, we made handouts with the cultural norms for the Alpha and Beta cultures.</w:t>
      </w:r>
    </w:p>
    <w:p w14:paraId="3D1FE845" w14:textId="5CC8C125" w:rsidR="008A1B38" w:rsidRPr="008A1B38" w:rsidRDefault="008A1B38" w:rsidP="008A1B38">
      <w:pPr>
        <w:pStyle w:val="TMEBodytext"/>
      </w:pPr>
      <w:r w:rsidRPr="008A1B38">
        <w:lastRenderedPageBreak/>
        <w:t>To begin the activity, we randomly split the class into two groups. One group stayed in the classroom and the other group went out into the hall. Since this was an evening class, the group in the hall was not going to disturb other classes with their activity</w:t>
      </w:r>
      <w:r w:rsidR="004D3B26">
        <w:t xml:space="preserve">. The separation </w:t>
      </w:r>
      <w:r w:rsidRPr="008A1B38">
        <w:t xml:space="preserve">let both groups complete the first portion of the activity where they could not see each other. Each group had a facilitator who distributed the norm cards </w:t>
      </w:r>
      <w:r w:rsidR="004D3B26">
        <w:t>shown</w:t>
      </w:r>
      <w:r w:rsidRPr="008A1B38">
        <w:t xml:space="preserve"> </w:t>
      </w:r>
      <w:r w:rsidR="004D3B26">
        <w:t>in</w:t>
      </w:r>
      <w:r w:rsidRPr="008A1B38">
        <w:t xml:space="preserve"> </w:t>
      </w:r>
      <w:r w:rsidR="004D3B26">
        <w:t>T</w:t>
      </w:r>
      <w:r w:rsidRPr="008A1B38">
        <w:t>able</w:t>
      </w:r>
      <w:r w:rsidR="004D3B26">
        <w:t xml:space="preserve"> 1</w:t>
      </w:r>
      <w:r w:rsidRPr="008A1B38">
        <w:t>. Once each group had a chance to ask questions about their norms, they were given 15 minutes to interact within their culture; this was enough time for all of the students to become familiar enough with the norms that they no longer needed to refer to their norm cards. In hindsight, it may be more effective to use purposeful grouping to place more students with privilege into the Alpha culture initially.</w:t>
      </w:r>
    </w:p>
    <w:p w14:paraId="061744B8" w14:textId="22B8CFDA" w:rsidR="008A1B38" w:rsidRPr="008A1B38" w:rsidRDefault="008A1B38" w:rsidP="008A1B38">
      <w:pPr>
        <w:pStyle w:val="TMEBodytext"/>
      </w:pPr>
      <w:r w:rsidRPr="008A1B38">
        <w:t>Once students had mastered the norms of their original cultures, we began switching students between cultures. We switched three students at a time and switched them back once all three students had been exiled by receiving three stickers from the Beta culture. It took about 25 minutes for us to complete the three switches we needed in order to have all students experience the other culture. We used the final thirty minutes of the class as a debriefing discussion. After the discussion, the two readings were distributed along with the paper prompt. Students had two weeks to read the articles and write their reflection paper.</w:t>
      </w:r>
    </w:p>
    <w:p w14:paraId="45B3F646" w14:textId="77777777" w:rsidR="008A1B38" w:rsidRPr="008A1B38" w:rsidRDefault="008A1B38" w:rsidP="008A1B38">
      <w:pPr>
        <w:pStyle w:val="Heading1"/>
        <w:rPr>
          <w:rFonts w:eastAsia="Batang"/>
          <w:noProof/>
        </w:rPr>
      </w:pPr>
      <w:r w:rsidRPr="008A1B38">
        <w:rPr>
          <w:rFonts w:eastAsia="Batang"/>
          <w:noProof/>
        </w:rPr>
        <w:t>Methods</w:t>
      </w:r>
    </w:p>
    <w:p w14:paraId="0A464B2A" w14:textId="1879CC6E" w:rsidR="008A1B38" w:rsidRPr="008A1B38" w:rsidRDefault="008A1B38" w:rsidP="008A1B38">
      <w:pPr>
        <w:pStyle w:val="TMEBodytext"/>
      </w:pPr>
      <w:r w:rsidRPr="008A1B38">
        <w:t>This study took place at a midsized, rural</w:t>
      </w:r>
      <w:r w:rsidRPr="008A1B38">
        <w:rPr>
          <w:lang w:val="it-IT"/>
        </w:rPr>
        <w:t xml:space="preserve"> Hispanic-serving </w:t>
      </w:r>
      <w:r w:rsidR="00501C83" w:rsidRPr="008A1B38">
        <w:rPr>
          <w:lang w:val="it-IT"/>
        </w:rPr>
        <w:t xml:space="preserve">research </w:t>
      </w:r>
      <w:r w:rsidRPr="008A1B38">
        <w:t xml:space="preserve">university in the South with approximately 11,000 students; 40.6% of the student body </w:t>
      </w:r>
      <w:r w:rsidR="00BE0DD8">
        <w:t>were</w:t>
      </w:r>
      <w:r w:rsidRPr="008A1B38">
        <w:t xml:space="preserve"> non-White and 60.3% </w:t>
      </w:r>
      <w:r w:rsidR="00BE0DD8">
        <w:t>were</w:t>
      </w:r>
      <w:r w:rsidRPr="008A1B38">
        <w:t xml:space="preserve"> female.  The university is in a region of the South which is considered to have a significantly higher than average level of racism and active hate groups (Chae et al., 2015). While there was not an overt racial tension displayed during class, students tended to self-select into racially homogeneous groups unless assigned to do otherwise by the instructor. To the best of our knowledge no participant had any direct involvement in </w:t>
      </w:r>
      <w:r w:rsidR="00B42F65">
        <w:t>hate</w:t>
      </w:r>
      <w:r w:rsidRPr="008A1B38">
        <w:t xml:space="preserve"> </w:t>
      </w:r>
      <w:r w:rsidRPr="008A1B38">
        <w:lastRenderedPageBreak/>
        <w:t>groups, but the prevalence of such groups is well known to all students in the area.</w:t>
      </w:r>
    </w:p>
    <w:p w14:paraId="2F4D3BB8" w14:textId="3DA7F5E6" w:rsidR="008A1B38" w:rsidRDefault="008A1B38" w:rsidP="008A1B38">
      <w:pPr>
        <w:pStyle w:val="TMEBodytext"/>
      </w:pPr>
      <w:r w:rsidRPr="008A1B38">
        <w:t xml:space="preserve">Our pre-service middle school mathematics teachers were all juniors and seniors enrolled in a mandatory History of Mathematics course. The students enrolled in the course are all pre-service middle school teachers. In this course there are 12 students with the following self-descriptive demographics: </w:t>
      </w:r>
      <w:r w:rsidR="00BE0DD8" w:rsidRPr="00BE0DD8">
        <w:t>five</w:t>
      </w:r>
      <w:r w:rsidRPr="00BE0DD8">
        <w:t xml:space="preserve"> white, </w:t>
      </w:r>
      <w:r w:rsidR="00BE0DD8" w:rsidRPr="00BE0DD8">
        <w:t>two</w:t>
      </w:r>
      <w:r w:rsidRPr="00BE0DD8">
        <w:t xml:space="preserve"> Hispanic, and </w:t>
      </w:r>
      <w:r w:rsidR="00BE0DD8" w:rsidRPr="00BE0DD8">
        <w:t>five</w:t>
      </w:r>
      <w:r w:rsidRPr="00BE0DD8">
        <w:t xml:space="preserve"> African American students; </w:t>
      </w:r>
      <w:r w:rsidR="00BE0DD8" w:rsidRPr="00BE0DD8">
        <w:t>seven</w:t>
      </w:r>
      <w:r w:rsidRPr="00BE0DD8">
        <w:t xml:space="preserve"> middle-class and </w:t>
      </w:r>
      <w:r w:rsidR="00BE0DD8" w:rsidRPr="00BE0DD8">
        <w:t>five</w:t>
      </w:r>
      <w:r w:rsidRPr="00BE0DD8">
        <w:t xml:space="preserve"> lower-income students; </w:t>
      </w:r>
      <w:r w:rsidR="00BE0DD8" w:rsidRPr="00BE0DD8">
        <w:t>eight</w:t>
      </w:r>
      <w:r w:rsidRPr="00BE0DD8">
        <w:t xml:space="preserve"> traditional and </w:t>
      </w:r>
      <w:r w:rsidR="00BE0DD8" w:rsidRPr="00BE0DD8">
        <w:t>four</w:t>
      </w:r>
      <w:r w:rsidRPr="00BE0DD8">
        <w:t xml:space="preserve"> non-traditional students.</w:t>
      </w:r>
      <w:bookmarkStart w:id="0" w:name="OLE_LINK5"/>
      <w:r w:rsidRPr="008A1B38">
        <w:t xml:space="preserve"> Two students are in interracial marriages, one student self-identifies as gay, and one student is a single mother.</w:t>
      </w:r>
      <w:bookmarkEnd w:id="0"/>
      <w:r w:rsidRPr="008A1B38">
        <w:t xml:space="preserve"> The descriptions the participants wrote of themselves for the study appear </w:t>
      </w:r>
      <w:r w:rsidR="009E1A90">
        <w:t>i</w:t>
      </w:r>
      <w:r w:rsidRPr="008A1B38">
        <w:t>n Table 2.</w:t>
      </w:r>
    </w:p>
    <w:p w14:paraId="62998357" w14:textId="1C71A650" w:rsidR="0051189A" w:rsidRPr="00F109C3" w:rsidRDefault="0051189A" w:rsidP="00F109C3">
      <w:pPr>
        <w:pStyle w:val="TMELabeltablefigure"/>
      </w:pPr>
      <w:r w:rsidRPr="00F109C3">
        <w:t>Table 2</w:t>
      </w:r>
    </w:p>
    <w:p w14:paraId="240291EA" w14:textId="2EBBF810" w:rsidR="008A1B38" w:rsidRPr="00F109C3" w:rsidRDefault="0051189A" w:rsidP="00F109C3">
      <w:pPr>
        <w:pStyle w:val="TMECaptiontablefigure"/>
      </w:pPr>
      <w:r w:rsidRPr="00F109C3">
        <w:t>Participants’ Self-described Labels</w:t>
      </w:r>
    </w:p>
    <w:tbl>
      <w:tblPr>
        <w:tblpPr w:leftFromText="180" w:rightFromText="180" w:vertAnchor="text" w:horzAnchor="margin" w:tblpY="44"/>
        <w:tblW w:w="5546" w:type="dxa"/>
        <w:tblLayout w:type="fixed"/>
        <w:tblLook w:val="04A0" w:firstRow="1" w:lastRow="0" w:firstColumn="1" w:lastColumn="0" w:noHBand="0" w:noVBand="1"/>
      </w:tblPr>
      <w:tblGrid>
        <w:gridCol w:w="1107"/>
        <w:gridCol w:w="4439"/>
      </w:tblGrid>
      <w:tr w:rsidR="00365E4C" w:rsidRPr="008A1B38" w14:paraId="44491D0B" w14:textId="77777777" w:rsidTr="00365E4C">
        <w:tc>
          <w:tcPr>
            <w:tcW w:w="1107" w:type="dxa"/>
            <w:tcBorders>
              <w:top w:val="single" w:sz="4" w:space="0" w:color="auto"/>
              <w:bottom w:val="single" w:sz="4" w:space="0" w:color="auto"/>
            </w:tcBorders>
            <w:shd w:val="clear" w:color="auto" w:fill="auto"/>
          </w:tcPr>
          <w:p w14:paraId="11A48A4A" w14:textId="77777777" w:rsidR="008A1B38" w:rsidRPr="008A1B38" w:rsidRDefault="008A1B38" w:rsidP="007F54B1">
            <w:pPr>
              <w:pStyle w:val="TMETablecells"/>
              <w:jc w:val="center"/>
              <w:rPr>
                <w:b/>
                <w:bCs/>
              </w:rPr>
            </w:pPr>
            <w:r w:rsidRPr="008A1B38">
              <w:rPr>
                <w:b/>
                <w:bCs/>
              </w:rPr>
              <w:t>Pseudonym</w:t>
            </w:r>
          </w:p>
        </w:tc>
        <w:tc>
          <w:tcPr>
            <w:tcW w:w="4439" w:type="dxa"/>
            <w:tcBorders>
              <w:top w:val="single" w:sz="4" w:space="0" w:color="auto"/>
              <w:bottom w:val="single" w:sz="4" w:space="0" w:color="auto"/>
            </w:tcBorders>
            <w:shd w:val="clear" w:color="auto" w:fill="auto"/>
          </w:tcPr>
          <w:p w14:paraId="7059E8E9" w14:textId="77777777" w:rsidR="008A1B38" w:rsidRPr="008A1B38" w:rsidRDefault="008A1B38" w:rsidP="007F54B1">
            <w:pPr>
              <w:pStyle w:val="TMETablecells"/>
              <w:jc w:val="center"/>
              <w:rPr>
                <w:b/>
                <w:bCs/>
              </w:rPr>
            </w:pPr>
            <w:r w:rsidRPr="008A1B38">
              <w:rPr>
                <w:b/>
                <w:bCs/>
              </w:rPr>
              <w:t>Self-Described Labels</w:t>
            </w:r>
          </w:p>
        </w:tc>
      </w:tr>
      <w:tr w:rsidR="00365E4C" w:rsidRPr="008A1B38" w14:paraId="307096D6" w14:textId="77777777" w:rsidTr="00365E4C">
        <w:tc>
          <w:tcPr>
            <w:tcW w:w="1107" w:type="dxa"/>
            <w:tcBorders>
              <w:top w:val="single" w:sz="4" w:space="0" w:color="auto"/>
            </w:tcBorders>
            <w:shd w:val="clear" w:color="auto" w:fill="auto"/>
          </w:tcPr>
          <w:p w14:paraId="43EC0623" w14:textId="77777777" w:rsidR="008A1B38" w:rsidRPr="007F54B1" w:rsidRDefault="008A1B38" w:rsidP="007F54B1">
            <w:pPr>
              <w:pStyle w:val="TMETablecells"/>
            </w:pPr>
            <w:r w:rsidRPr="007F54B1">
              <w:t>Andrea</w:t>
            </w:r>
          </w:p>
        </w:tc>
        <w:tc>
          <w:tcPr>
            <w:tcW w:w="4439" w:type="dxa"/>
            <w:tcBorders>
              <w:top w:val="single" w:sz="4" w:space="0" w:color="auto"/>
            </w:tcBorders>
            <w:shd w:val="clear" w:color="auto" w:fill="auto"/>
          </w:tcPr>
          <w:p w14:paraId="50B45012" w14:textId="72B1E704" w:rsidR="008A1B38" w:rsidRPr="007F54B1" w:rsidRDefault="008A1B38" w:rsidP="007F54B1">
            <w:pPr>
              <w:pStyle w:val="TMETablecells"/>
            </w:pPr>
            <w:r w:rsidRPr="007F54B1">
              <w:t>African-American, female, heterosexual</w:t>
            </w:r>
          </w:p>
        </w:tc>
      </w:tr>
      <w:tr w:rsidR="00365E4C" w:rsidRPr="008A1B38" w14:paraId="3E6FE27E" w14:textId="77777777" w:rsidTr="00365E4C">
        <w:tc>
          <w:tcPr>
            <w:tcW w:w="1107" w:type="dxa"/>
            <w:shd w:val="clear" w:color="auto" w:fill="auto"/>
          </w:tcPr>
          <w:p w14:paraId="6A57507A" w14:textId="77777777" w:rsidR="008A1B38" w:rsidRPr="007F54B1" w:rsidRDefault="008A1B38" w:rsidP="007F54B1">
            <w:pPr>
              <w:pStyle w:val="TMETablecells"/>
            </w:pPr>
            <w:r w:rsidRPr="007F54B1">
              <w:t>Ann</w:t>
            </w:r>
          </w:p>
        </w:tc>
        <w:tc>
          <w:tcPr>
            <w:tcW w:w="4439" w:type="dxa"/>
            <w:shd w:val="clear" w:color="auto" w:fill="auto"/>
          </w:tcPr>
          <w:p w14:paraId="32B75620" w14:textId="77777777" w:rsidR="008A1B38" w:rsidRPr="007F54B1" w:rsidRDefault="008A1B38" w:rsidP="007F54B1">
            <w:pPr>
              <w:pStyle w:val="TMETablecells"/>
            </w:pPr>
            <w:r w:rsidRPr="007F54B1">
              <w:t>White, female, middle class, interracial marriage</w:t>
            </w:r>
          </w:p>
        </w:tc>
      </w:tr>
      <w:tr w:rsidR="00365E4C" w:rsidRPr="008A1B38" w14:paraId="5C469249" w14:textId="77777777" w:rsidTr="00365E4C">
        <w:tc>
          <w:tcPr>
            <w:tcW w:w="1107" w:type="dxa"/>
            <w:shd w:val="clear" w:color="auto" w:fill="auto"/>
          </w:tcPr>
          <w:p w14:paraId="6550BF95" w14:textId="77777777" w:rsidR="008A1B38" w:rsidRPr="007F54B1" w:rsidRDefault="008A1B38" w:rsidP="007F54B1">
            <w:pPr>
              <w:pStyle w:val="TMETablecells"/>
            </w:pPr>
            <w:r w:rsidRPr="007F54B1">
              <w:t>Brandi</w:t>
            </w:r>
          </w:p>
        </w:tc>
        <w:tc>
          <w:tcPr>
            <w:tcW w:w="4439" w:type="dxa"/>
            <w:shd w:val="clear" w:color="auto" w:fill="auto"/>
          </w:tcPr>
          <w:p w14:paraId="65D29FBA" w14:textId="77777777" w:rsidR="008A1B38" w:rsidRPr="007F54B1" w:rsidRDefault="008A1B38" w:rsidP="007F54B1">
            <w:pPr>
              <w:pStyle w:val="TMETablecells"/>
            </w:pPr>
            <w:r w:rsidRPr="007F54B1">
              <w:t>White, female, middle-class</w:t>
            </w:r>
          </w:p>
        </w:tc>
      </w:tr>
      <w:tr w:rsidR="00365E4C" w:rsidRPr="008A1B38" w14:paraId="6E562CDB" w14:textId="77777777" w:rsidTr="00365E4C">
        <w:tc>
          <w:tcPr>
            <w:tcW w:w="1107" w:type="dxa"/>
            <w:shd w:val="clear" w:color="auto" w:fill="auto"/>
          </w:tcPr>
          <w:p w14:paraId="1A66F40E" w14:textId="77777777" w:rsidR="008A1B38" w:rsidRPr="007F54B1" w:rsidRDefault="008A1B38" w:rsidP="007F54B1">
            <w:pPr>
              <w:pStyle w:val="TMETablecells"/>
            </w:pPr>
            <w:r w:rsidRPr="007F54B1">
              <w:t>Brillana</w:t>
            </w:r>
          </w:p>
        </w:tc>
        <w:tc>
          <w:tcPr>
            <w:tcW w:w="4439" w:type="dxa"/>
            <w:shd w:val="clear" w:color="auto" w:fill="auto"/>
          </w:tcPr>
          <w:p w14:paraId="7AAD8863" w14:textId="77777777" w:rsidR="008A1B38" w:rsidRPr="007F54B1" w:rsidRDefault="008A1B38" w:rsidP="007F54B1">
            <w:pPr>
              <w:pStyle w:val="TMETablecells"/>
            </w:pPr>
            <w:r w:rsidRPr="007F54B1">
              <w:t>Mexican, female, heterosexual</w:t>
            </w:r>
          </w:p>
        </w:tc>
      </w:tr>
      <w:tr w:rsidR="00365E4C" w:rsidRPr="008A1B38" w14:paraId="26058B8C" w14:textId="77777777" w:rsidTr="00365E4C">
        <w:tc>
          <w:tcPr>
            <w:tcW w:w="1107" w:type="dxa"/>
            <w:shd w:val="clear" w:color="auto" w:fill="auto"/>
          </w:tcPr>
          <w:p w14:paraId="7B03C72A" w14:textId="77777777" w:rsidR="008A1B38" w:rsidRPr="007F54B1" w:rsidRDefault="008A1B38" w:rsidP="007F54B1">
            <w:pPr>
              <w:pStyle w:val="TMETablecells"/>
            </w:pPr>
            <w:r w:rsidRPr="007F54B1">
              <w:t>Fana</w:t>
            </w:r>
          </w:p>
        </w:tc>
        <w:tc>
          <w:tcPr>
            <w:tcW w:w="4439" w:type="dxa"/>
            <w:shd w:val="clear" w:color="auto" w:fill="auto"/>
          </w:tcPr>
          <w:p w14:paraId="5AFC8EF7" w14:textId="77777777" w:rsidR="008A1B38" w:rsidRPr="007F54B1" w:rsidRDefault="008A1B38" w:rsidP="007F54B1">
            <w:pPr>
              <w:pStyle w:val="TMETablecells"/>
            </w:pPr>
            <w:r w:rsidRPr="007F54B1">
              <w:t>African, female</w:t>
            </w:r>
          </w:p>
        </w:tc>
      </w:tr>
      <w:tr w:rsidR="00365E4C" w:rsidRPr="008A1B38" w14:paraId="0F4CCE57" w14:textId="77777777" w:rsidTr="00365E4C">
        <w:tc>
          <w:tcPr>
            <w:tcW w:w="1107" w:type="dxa"/>
            <w:shd w:val="clear" w:color="auto" w:fill="auto"/>
          </w:tcPr>
          <w:p w14:paraId="3DC75054" w14:textId="77777777" w:rsidR="008A1B38" w:rsidRPr="007F54B1" w:rsidRDefault="008A1B38" w:rsidP="007F54B1">
            <w:pPr>
              <w:pStyle w:val="TMETablecells"/>
            </w:pPr>
            <w:r w:rsidRPr="007F54B1">
              <w:t>Gayle</w:t>
            </w:r>
          </w:p>
        </w:tc>
        <w:tc>
          <w:tcPr>
            <w:tcW w:w="4439" w:type="dxa"/>
            <w:shd w:val="clear" w:color="auto" w:fill="auto"/>
          </w:tcPr>
          <w:p w14:paraId="22617185" w14:textId="77777777" w:rsidR="008A1B38" w:rsidRPr="007F54B1" w:rsidRDefault="008A1B38" w:rsidP="007F54B1">
            <w:pPr>
              <w:pStyle w:val="TMETablecells"/>
            </w:pPr>
            <w:r w:rsidRPr="007F54B1">
              <w:t>Black, female, gay, middle class</w:t>
            </w:r>
          </w:p>
        </w:tc>
      </w:tr>
      <w:tr w:rsidR="00365E4C" w:rsidRPr="008A1B38" w14:paraId="0D0C22EF" w14:textId="77777777" w:rsidTr="00365E4C">
        <w:tc>
          <w:tcPr>
            <w:tcW w:w="1107" w:type="dxa"/>
            <w:shd w:val="clear" w:color="auto" w:fill="auto"/>
          </w:tcPr>
          <w:p w14:paraId="10949CFA" w14:textId="77777777" w:rsidR="008A1B38" w:rsidRPr="007F54B1" w:rsidRDefault="008A1B38" w:rsidP="007F54B1">
            <w:pPr>
              <w:pStyle w:val="TMETablecells"/>
            </w:pPr>
            <w:r w:rsidRPr="007F54B1">
              <w:t>Holly</w:t>
            </w:r>
          </w:p>
        </w:tc>
        <w:tc>
          <w:tcPr>
            <w:tcW w:w="4439" w:type="dxa"/>
            <w:shd w:val="clear" w:color="auto" w:fill="auto"/>
          </w:tcPr>
          <w:p w14:paraId="3056CD3B" w14:textId="77777777" w:rsidR="008A1B38" w:rsidRPr="007F54B1" w:rsidRDefault="008A1B38" w:rsidP="007F54B1">
            <w:pPr>
              <w:pStyle w:val="TMETablecells"/>
            </w:pPr>
            <w:r w:rsidRPr="007F54B1">
              <w:t>White, female, heterosexual, middle class, interracial marriage</w:t>
            </w:r>
          </w:p>
        </w:tc>
      </w:tr>
      <w:tr w:rsidR="00365E4C" w:rsidRPr="008A1B38" w14:paraId="74EC0B18" w14:textId="77777777" w:rsidTr="00365E4C">
        <w:tc>
          <w:tcPr>
            <w:tcW w:w="1107" w:type="dxa"/>
            <w:shd w:val="clear" w:color="auto" w:fill="auto"/>
          </w:tcPr>
          <w:p w14:paraId="25A4DDC7" w14:textId="77777777" w:rsidR="008A1B38" w:rsidRPr="007F54B1" w:rsidRDefault="008A1B38" w:rsidP="007F54B1">
            <w:pPr>
              <w:pStyle w:val="TMETablecells"/>
            </w:pPr>
            <w:r w:rsidRPr="007F54B1">
              <w:t>Jillian</w:t>
            </w:r>
          </w:p>
        </w:tc>
        <w:tc>
          <w:tcPr>
            <w:tcW w:w="4439" w:type="dxa"/>
            <w:shd w:val="clear" w:color="auto" w:fill="auto"/>
          </w:tcPr>
          <w:p w14:paraId="40DCE28D" w14:textId="77777777" w:rsidR="008A1B38" w:rsidRPr="007F54B1" w:rsidRDefault="008A1B38" w:rsidP="007F54B1">
            <w:pPr>
              <w:pStyle w:val="TMETablecells"/>
            </w:pPr>
            <w:r w:rsidRPr="007F54B1">
              <w:t>White, female, middle class</w:t>
            </w:r>
          </w:p>
        </w:tc>
      </w:tr>
      <w:tr w:rsidR="00365E4C" w:rsidRPr="008A1B38" w14:paraId="74CB59D0" w14:textId="77777777" w:rsidTr="00365E4C">
        <w:tc>
          <w:tcPr>
            <w:tcW w:w="1107" w:type="dxa"/>
            <w:shd w:val="clear" w:color="auto" w:fill="auto"/>
          </w:tcPr>
          <w:p w14:paraId="1E7289B0" w14:textId="77777777" w:rsidR="008A1B38" w:rsidRPr="007F54B1" w:rsidRDefault="008A1B38" w:rsidP="007F54B1">
            <w:pPr>
              <w:pStyle w:val="TMETablecells"/>
            </w:pPr>
            <w:r w:rsidRPr="007F54B1">
              <w:t>Karis</w:t>
            </w:r>
          </w:p>
        </w:tc>
        <w:tc>
          <w:tcPr>
            <w:tcW w:w="4439" w:type="dxa"/>
            <w:shd w:val="clear" w:color="auto" w:fill="auto"/>
          </w:tcPr>
          <w:p w14:paraId="2B18E30E" w14:textId="77777777" w:rsidR="008A1B38" w:rsidRPr="007F54B1" w:rsidRDefault="008A1B38" w:rsidP="007F54B1">
            <w:pPr>
              <w:pStyle w:val="TMETablecells"/>
            </w:pPr>
            <w:r w:rsidRPr="007F54B1">
              <w:t>African-American, female, lower class</w:t>
            </w:r>
          </w:p>
        </w:tc>
      </w:tr>
      <w:tr w:rsidR="00365E4C" w:rsidRPr="008A1B38" w14:paraId="2E29F982" w14:textId="77777777" w:rsidTr="00365E4C">
        <w:tc>
          <w:tcPr>
            <w:tcW w:w="1107" w:type="dxa"/>
            <w:shd w:val="clear" w:color="auto" w:fill="auto"/>
          </w:tcPr>
          <w:p w14:paraId="38417693" w14:textId="77777777" w:rsidR="008A1B38" w:rsidRPr="007F54B1" w:rsidRDefault="008A1B38" w:rsidP="007F54B1">
            <w:pPr>
              <w:pStyle w:val="TMETablecells"/>
            </w:pPr>
            <w:r w:rsidRPr="007F54B1">
              <w:t>Kevious</w:t>
            </w:r>
          </w:p>
        </w:tc>
        <w:tc>
          <w:tcPr>
            <w:tcW w:w="4439" w:type="dxa"/>
            <w:shd w:val="clear" w:color="auto" w:fill="auto"/>
          </w:tcPr>
          <w:p w14:paraId="426EC28A" w14:textId="77777777" w:rsidR="008A1B38" w:rsidRPr="007F54B1" w:rsidRDefault="008A1B38" w:rsidP="007F54B1">
            <w:pPr>
              <w:pStyle w:val="TMETablecells"/>
            </w:pPr>
            <w:r w:rsidRPr="007F54B1">
              <w:t>African-American, male, heterosexual</w:t>
            </w:r>
          </w:p>
        </w:tc>
      </w:tr>
      <w:tr w:rsidR="00365E4C" w:rsidRPr="008A1B38" w14:paraId="6615668C" w14:textId="77777777" w:rsidTr="00365E4C">
        <w:tc>
          <w:tcPr>
            <w:tcW w:w="1107" w:type="dxa"/>
            <w:shd w:val="clear" w:color="auto" w:fill="auto"/>
          </w:tcPr>
          <w:p w14:paraId="1B55ADBF" w14:textId="77777777" w:rsidR="008A1B38" w:rsidRPr="007F54B1" w:rsidRDefault="008A1B38" w:rsidP="007F54B1">
            <w:pPr>
              <w:pStyle w:val="TMETablecells"/>
            </w:pPr>
            <w:r w:rsidRPr="007F54B1">
              <w:t>Paige</w:t>
            </w:r>
          </w:p>
        </w:tc>
        <w:tc>
          <w:tcPr>
            <w:tcW w:w="4439" w:type="dxa"/>
            <w:shd w:val="clear" w:color="auto" w:fill="auto"/>
          </w:tcPr>
          <w:p w14:paraId="40F730BC" w14:textId="77777777" w:rsidR="008A1B38" w:rsidRPr="007F54B1" w:rsidRDefault="008A1B38" w:rsidP="007F54B1">
            <w:pPr>
              <w:pStyle w:val="TMETablecells"/>
            </w:pPr>
            <w:r w:rsidRPr="007F54B1">
              <w:t>White, female, lower class</w:t>
            </w:r>
            <w:r w:rsidRPr="00377D39">
              <w:rPr>
                <w:vertAlign w:val="superscript"/>
              </w:rPr>
              <w:footnoteReference w:id="1"/>
            </w:r>
          </w:p>
        </w:tc>
      </w:tr>
      <w:tr w:rsidR="00365E4C" w:rsidRPr="008A1B38" w14:paraId="6DBBB81B" w14:textId="77777777" w:rsidTr="00365E4C">
        <w:tc>
          <w:tcPr>
            <w:tcW w:w="1107" w:type="dxa"/>
            <w:tcBorders>
              <w:bottom w:val="single" w:sz="4" w:space="0" w:color="auto"/>
            </w:tcBorders>
            <w:shd w:val="clear" w:color="auto" w:fill="auto"/>
          </w:tcPr>
          <w:p w14:paraId="5E0C0949" w14:textId="77777777" w:rsidR="008A1B38" w:rsidRPr="007F54B1" w:rsidRDefault="008A1B38" w:rsidP="007F54B1">
            <w:pPr>
              <w:pStyle w:val="TMETablecells"/>
            </w:pPr>
            <w:r w:rsidRPr="007F54B1">
              <w:t>Yeny</w:t>
            </w:r>
          </w:p>
        </w:tc>
        <w:tc>
          <w:tcPr>
            <w:tcW w:w="4439" w:type="dxa"/>
            <w:tcBorders>
              <w:bottom w:val="single" w:sz="4" w:space="0" w:color="auto"/>
            </w:tcBorders>
            <w:shd w:val="clear" w:color="auto" w:fill="auto"/>
          </w:tcPr>
          <w:p w14:paraId="0ECD1C1A" w14:textId="77777777" w:rsidR="008A1B38" w:rsidRPr="007F54B1" w:rsidRDefault="008A1B38" w:rsidP="007F54B1">
            <w:pPr>
              <w:pStyle w:val="TMETablecells"/>
            </w:pPr>
            <w:r w:rsidRPr="007F54B1">
              <w:t>Mexican-American, female, middle-class</w:t>
            </w:r>
          </w:p>
        </w:tc>
      </w:tr>
    </w:tbl>
    <w:p w14:paraId="5592D985" w14:textId="77777777" w:rsidR="008A1B38" w:rsidRPr="008A1B38" w:rsidRDefault="008A1B38" w:rsidP="008A1B38">
      <w:pPr>
        <w:pStyle w:val="TMEBodytext"/>
        <w:ind w:firstLine="0"/>
      </w:pPr>
    </w:p>
    <w:p w14:paraId="573DC168" w14:textId="69A3A3A5" w:rsidR="008A1B38" w:rsidRDefault="008A1B38" w:rsidP="00CB17A8">
      <w:pPr>
        <w:pStyle w:val="TMEBodytext"/>
      </w:pPr>
      <w:r w:rsidRPr="008A1B38">
        <w:t xml:space="preserve">We used several sources of data to measure the effectiveness of the Bafa Bafa simulation. During the debriefing discussion, one facilitator took notes on what was said and by whom. We also collected the post-activity reflection papers (Appendix 1) for analysis and interviewed each student at the end of the </w:t>
      </w:r>
      <w:r w:rsidRPr="008A1B38">
        <w:lastRenderedPageBreak/>
        <w:t>semester (Figure 1). Lewis also kept a journal after she implemented each activity in the classroom, particularly Bafa Bafa, and she also conducted the end of semester interviews with students.</w:t>
      </w:r>
    </w:p>
    <w:p w14:paraId="7A44DF6F" w14:textId="05A647AC" w:rsidR="00CB17A8" w:rsidRPr="003F3782" w:rsidRDefault="00CB17A8" w:rsidP="003F3782">
      <w:pPr>
        <w:pStyle w:val="TMELabeltablefigure"/>
      </w:pPr>
      <w:r w:rsidRPr="003F3782">
        <w:t>Figure 1</w:t>
      </w:r>
    </w:p>
    <w:p w14:paraId="52DD0BB1" w14:textId="10203C65" w:rsidR="00924FDD" w:rsidRPr="003F3782" w:rsidRDefault="00924FDD" w:rsidP="003F3782">
      <w:pPr>
        <w:pStyle w:val="TMECaptiontablefigure"/>
      </w:pPr>
      <w:r w:rsidRPr="003F3782">
        <w:t>Interview Questions</w:t>
      </w:r>
    </w:p>
    <w:tbl>
      <w:tblPr>
        <w:tblStyle w:val="TableGrid"/>
        <w:tblW w:w="0" w:type="auto"/>
        <w:tblLook w:val="04A0" w:firstRow="1" w:lastRow="0" w:firstColumn="1" w:lastColumn="0" w:noHBand="0" w:noVBand="1"/>
      </w:tblPr>
      <w:tblGrid>
        <w:gridCol w:w="5606"/>
      </w:tblGrid>
      <w:tr w:rsidR="008A1B38" w:rsidRPr="008A1B38" w14:paraId="5A0085AB" w14:textId="77777777" w:rsidTr="004C533C">
        <w:tc>
          <w:tcPr>
            <w:tcW w:w="9576" w:type="dxa"/>
          </w:tcPr>
          <w:p w14:paraId="7731954F" w14:textId="77777777" w:rsidR="008A1B38" w:rsidRPr="008A1B38" w:rsidRDefault="008A1B38" w:rsidP="00924FDD">
            <w:pPr>
              <w:pStyle w:val="TMEBodytext"/>
              <w:numPr>
                <w:ilvl w:val="0"/>
                <w:numId w:val="4"/>
              </w:numPr>
              <w:ind w:left="423"/>
            </w:pPr>
            <w:r w:rsidRPr="008A1B38">
              <w:t>Can you tell me a little about ethnomathematics?</w:t>
            </w:r>
          </w:p>
          <w:p w14:paraId="4439F26F" w14:textId="77777777" w:rsidR="008A1B38" w:rsidRPr="008A1B38" w:rsidRDefault="008A1B38" w:rsidP="00924FDD">
            <w:pPr>
              <w:pStyle w:val="TMEBodytext"/>
              <w:numPr>
                <w:ilvl w:val="0"/>
                <w:numId w:val="4"/>
              </w:numPr>
              <w:ind w:left="423"/>
            </w:pPr>
            <w:r w:rsidRPr="008A1B38">
              <w:t>What did you learn about other cultures in this course?</w:t>
            </w:r>
          </w:p>
          <w:p w14:paraId="7E16542D" w14:textId="77777777" w:rsidR="008A1B38" w:rsidRPr="008A1B38" w:rsidRDefault="008A1B38" w:rsidP="00924FDD">
            <w:pPr>
              <w:pStyle w:val="TMEBodytext"/>
              <w:numPr>
                <w:ilvl w:val="0"/>
                <w:numId w:val="4"/>
              </w:numPr>
              <w:ind w:left="423"/>
            </w:pPr>
            <w:r w:rsidRPr="008A1B38">
              <w:t>What were the most memorable activities this semester?</w:t>
            </w:r>
          </w:p>
          <w:p w14:paraId="39A849F8" w14:textId="77777777" w:rsidR="008A1B38" w:rsidRPr="008A1B38" w:rsidRDefault="008A1B38" w:rsidP="00924FDD">
            <w:pPr>
              <w:pStyle w:val="TMEBodytext"/>
              <w:numPr>
                <w:ilvl w:val="0"/>
                <w:numId w:val="4"/>
              </w:numPr>
              <w:ind w:left="423"/>
            </w:pPr>
            <w:r w:rsidRPr="008A1B38">
              <w:t>Why was that memorable?</w:t>
            </w:r>
          </w:p>
          <w:p w14:paraId="082A803F" w14:textId="77777777" w:rsidR="008A1B38" w:rsidRPr="008A1B38" w:rsidRDefault="008A1B38" w:rsidP="00924FDD">
            <w:pPr>
              <w:pStyle w:val="TMEBodytext"/>
              <w:numPr>
                <w:ilvl w:val="0"/>
                <w:numId w:val="4"/>
              </w:numPr>
              <w:ind w:left="423"/>
            </w:pPr>
            <w:r w:rsidRPr="008A1B38">
              <w:t>Let’s talk a little about Bafa Bafa. Can you tell me what you remember about the activity?</w:t>
            </w:r>
          </w:p>
          <w:p w14:paraId="6186997F" w14:textId="77777777" w:rsidR="008A1B38" w:rsidRPr="008A1B38" w:rsidRDefault="008A1B38" w:rsidP="00924FDD">
            <w:pPr>
              <w:pStyle w:val="TMEBodytext"/>
              <w:numPr>
                <w:ilvl w:val="0"/>
                <w:numId w:val="4"/>
              </w:numPr>
              <w:ind w:left="423"/>
            </w:pPr>
            <w:r w:rsidRPr="008A1B38">
              <w:t>How did you feel during Bafa Bafa?</w:t>
            </w:r>
          </w:p>
          <w:p w14:paraId="03BB8837" w14:textId="77777777" w:rsidR="008A1B38" w:rsidRPr="008A1B38" w:rsidRDefault="008A1B38" w:rsidP="00924FDD">
            <w:pPr>
              <w:pStyle w:val="TMEBodytext"/>
              <w:numPr>
                <w:ilvl w:val="0"/>
                <w:numId w:val="4"/>
              </w:numPr>
              <w:ind w:left="423"/>
            </w:pPr>
            <w:r w:rsidRPr="008A1B38">
              <w:t>Did you ever feel unsafe during Bafa Bafa? Why or why not?</w:t>
            </w:r>
          </w:p>
          <w:p w14:paraId="4C6548BF" w14:textId="77777777" w:rsidR="008A1B38" w:rsidRPr="008A1B38" w:rsidRDefault="008A1B38" w:rsidP="00924FDD">
            <w:pPr>
              <w:pStyle w:val="TMEBodytext"/>
              <w:numPr>
                <w:ilvl w:val="0"/>
                <w:numId w:val="4"/>
              </w:numPr>
              <w:ind w:left="423"/>
            </w:pPr>
            <w:r w:rsidRPr="008A1B38">
              <w:t>Do your feel like your beliefs and attitudes have changed throughout this semester?</w:t>
            </w:r>
          </w:p>
          <w:p w14:paraId="64A4AC03" w14:textId="77777777" w:rsidR="008A1B38" w:rsidRPr="008A1B38" w:rsidRDefault="008A1B38" w:rsidP="00924FDD">
            <w:pPr>
              <w:pStyle w:val="TMEBodytext"/>
              <w:numPr>
                <w:ilvl w:val="0"/>
                <w:numId w:val="4"/>
              </w:numPr>
              <w:ind w:left="423"/>
            </w:pPr>
            <w:r w:rsidRPr="008A1B38">
              <w:t>What, if anything, do you attribute those changes to?</w:t>
            </w:r>
          </w:p>
          <w:p w14:paraId="1C67ED1F" w14:textId="77777777" w:rsidR="008A1B38" w:rsidRPr="008A1B38" w:rsidRDefault="008A1B38" w:rsidP="00924FDD">
            <w:pPr>
              <w:pStyle w:val="TMEBodytext"/>
              <w:numPr>
                <w:ilvl w:val="0"/>
                <w:numId w:val="4"/>
              </w:numPr>
              <w:ind w:left="423"/>
            </w:pPr>
            <w:r w:rsidRPr="008A1B38">
              <w:t>What else should we talk about today?</w:t>
            </w:r>
          </w:p>
        </w:tc>
      </w:tr>
    </w:tbl>
    <w:p w14:paraId="76536A2F" w14:textId="77777777" w:rsidR="008A1B38" w:rsidRPr="008A1B38" w:rsidRDefault="008A1B38" w:rsidP="00924FDD">
      <w:pPr>
        <w:pStyle w:val="TMEBodytext"/>
        <w:ind w:firstLine="0"/>
        <w:rPr>
          <w:iCs/>
        </w:rPr>
      </w:pPr>
    </w:p>
    <w:p w14:paraId="79B3FD4C" w14:textId="4426F3B1" w:rsidR="008A1B38" w:rsidRDefault="008A1B38" w:rsidP="008A1B38">
      <w:pPr>
        <w:pStyle w:val="TMEBodytext"/>
      </w:pPr>
      <w:r w:rsidRPr="008A1B38">
        <w:t xml:space="preserve">To analyze the data, we began by having the first two authors read over the observation notes and journal without making any attempt to code. The authorship team then discussed their initial impressions of the activity and each wrote a journal about how they saw the activity go as a facilitator and as an outside observer. These journals were used to create an initial coding dictionary that was applied to the reflection papers. We then refined our coding and had a graduate student recode </w:t>
      </w:r>
      <w:r w:rsidR="003056A8">
        <w:t>four</w:t>
      </w:r>
      <w:r w:rsidR="00D33DC7">
        <w:t xml:space="preserve"> out of </w:t>
      </w:r>
      <w:r w:rsidRPr="008A1B38">
        <w:t>12 reflection papers to check inter-rater agreement. Once an acceptable level of inter-rater agreement was reached, all reflection papers were spot checked by the research team to ensure that no new themes emerged. This coding dictionary was then used on the interviews, which were conducted during Week 12 of the semester after the third and final ethnomathematics activity had concluded.</w:t>
      </w:r>
    </w:p>
    <w:p w14:paraId="69B1FD98" w14:textId="6AB6B8DE" w:rsidR="00A664E9" w:rsidRDefault="00A664E9" w:rsidP="00A664E9">
      <w:pPr>
        <w:pStyle w:val="TMEBodytext"/>
      </w:pPr>
      <w:r w:rsidRPr="008A1B38">
        <w:t xml:space="preserve">There were several steps taken to ensure the trustworthiness of the analysis. We performed member checks for each interview by writing a one-page explanation of the themes in </w:t>
      </w:r>
      <w:r w:rsidRPr="008A1B38">
        <w:lastRenderedPageBreak/>
        <w:t>each interview; this document was then emailed to the participant with a request for feedback. A graduate student also performed spot checks on 20% of the codes; the inter-rater agreement was 82% (acceptable for qualitative research). The multiple data sources (observation notes, reflection papers, and interviews) provided triangulation of the findings.</w:t>
      </w:r>
    </w:p>
    <w:p w14:paraId="25AD738C" w14:textId="1ABE3D85" w:rsidR="00820319" w:rsidRPr="00DD2507" w:rsidRDefault="00820319" w:rsidP="00DD2507">
      <w:pPr>
        <w:pStyle w:val="TMELabeltablefigure"/>
      </w:pPr>
      <w:r w:rsidRPr="00DD2507">
        <w:t>Table 3</w:t>
      </w:r>
    </w:p>
    <w:p w14:paraId="45981084" w14:textId="3BDBEE89" w:rsidR="008A1B38" w:rsidRPr="00DD2507" w:rsidRDefault="00820319" w:rsidP="00DD2507">
      <w:pPr>
        <w:pStyle w:val="TMECaptiontablefigure"/>
      </w:pPr>
      <w:r w:rsidRPr="00DD2507">
        <w:t>Coding Dictionary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2095"/>
        <w:gridCol w:w="2095"/>
      </w:tblGrid>
      <w:tr w:rsidR="00820319" w:rsidRPr="008A1B38" w14:paraId="568E4E72" w14:textId="77777777" w:rsidTr="00820319">
        <w:tc>
          <w:tcPr>
            <w:tcW w:w="1270" w:type="pct"/>
            <w:tcBorders>
              <w:top w:val="single" w:sz="4" w:space="0" w:color="auto"/>
              <w:bottom w:val="single" w:sz="4" w:space="0" w:color="auto"/>
            </w:tcBorders>
          </w:tcPr>
          <w:p w14:paraId="75BE6C9F" w14:textId="77777777" w:rsidR="008A1B38" w:rsidRPr="008A1B38" w:rsidRDefault="008A1B38" w:rsidP="00BB4DC8">
            <w:pPr>
              <w:pStyle w:val="TMETablecells"/>
              <w:jc w:val="center"/>
              <w:rPr>
                <w:b/>
                <w:bCs/>
              </w:rPr>
            </w:pPr>
            <w:r w:rsidRPr="008A1B38">
              <w:rPr>
                <w:b/>
                <w:bCs/>
              </w:rPr>
              <w:t>Code</w:t>
            </w:r>
          </w:p>
        </w:tc>
        <w:tc>
          <w:tcPr>
            <w:tcW w:w="1865" w:type="pct"/>
            <w:tcBorders>
              <w:top w:val="single" w:sz="4" w:space="0" w:color="auto"/>
              <w:bottom w:val="single" w:sz="4" w:space="0" w:color="auto"/>
            </w:tcBorders>
          </w:tcPr>
          <w:p w14:paraId="2559F358" w14:textId="77777777" w:rsidR="008A1B38" w:rsidRPr="008A1B38" w:rsidRDefault="008A1B38" w:rsidP="00BB4DC8">
            <w:pPr>
              <w:pStyle w:val="TMETablecells"/>
              <w:jc w:val="center"/>
              <w:rPr>
                <w:b/>
                <w:bCs/>
              </w:rPr>
            </w:pPr>
            <w:r w:rsidRPr="008A1B38">
              <w:rPr>
                <w:b/>
                <w:bCs/>
              </w:rPr>
              <w:t>Definition</w:t>
            </w:r>
          </w:p>
        </w:tc>
        <w:tc>
          <w:tcPr>
            <w:tcW w:w="1865" w:type="pct"/>
            <w:tcBorders>
              <w:top w:val="single" w:sz="4" w:space="0" w:color="auto"/>
              <w:bottom w:val="single" w:sz="4" w:space="0" w:color="auto"/>
            </w:tcBorders>
          </w:tcPr>
          <w:p w14:paraId="06D939E2" w14:textId="77777777" w:rsidR="008A1B38" w:rsidRPr="008A1B38" w:rsidRDefault="008A1B38" w:rsidP="00BB4DC8">
            <w:pPr>
              <w:pStyle w:val="TMETablecells"/>
              <w:jc w:val="center"/>
              <w:rPr>
                <w:b/>
                <w:bCs/>
              </w:rPr>
            </w:pPr>
            <w:r w:rsidRPr="008A1B38">
              <w:rPr>
                <w:b/>
                <w:bCs/>
              </w:rPr>
              <w:t>Example</w:t>
            </w:r>
          </w:p>
        </w:tc>
      </w:tr>
      <w:tr w:rsidR="00820319" w:rsidRPr="008A1B38" w14:paraId="39716D32" w14:textId="77777777" w:rsidTr="00AA62B9">
        <w:trPr>
          <w:trHeight w:val="935"/>
        </w:trPr>
        <w:tc>
          <w:tcPr>
            <w:tcW w:w="1270" w:type="pct"/>
            <w:tcBorders>
              <w:top w:val="single" w:sz="4" w:space="0" w:color="auto"/>
            </w:tcBorders>
          </w:tcPr>
          <w:p w14:paraId="2C643FDC" w14:textId="77777777" w:rsidR="008A1B38" w:rsidRPr="008A1B38" w:rsidRDefault="008A1B38" w:rsidP="008A1B38">
            <w:pPr>
              <w:pStyle w:val="TMETablecells"/>
            </w:pPr>
            <w:r w:rsidRPr="008A1B38">
              <w:t>Uncomfortable</w:t>
            </w:r>
          </w:p>
        </w:tc>
        <w:tc>
          <w:tcPr>
            <w:tcW w:w="1865" w:type="pct"/>
            <w:tcBorders>
              <w:top w:val="single" w:sz="4" w:space="0" w:color="auto"/>
            </w:tcBorders>
          </w:tcPr>
          <w:p w14:paraId="1CF2A999" w14:textId="77777777" w:rsidR="008A1B38" w:rsidRPr="008A1B38" w:rsidRDefault="008A1B38" w:rsidP="008A1B38">
            <w:pPr>
              <w:pStyle w:val="TMETablecells"/>
            </w:pPr>
            <w:r w:rsidRPr="008A1B38">
              <w:t>Passages where a participant indicated discomfort during Bafa Bafa or other activities</w:t>
            </w:r>
          </w:p>
        </w:tc>
        <w:tc>
          <w:tcPr>
            <w:tcW w:w="1865" w:type="pct"/>
            <w:tcBorders>
              <w:top w:val="single" w:sz="4" w:space="0" w:color="auto"/>
            </w:tcBorders>
          </w:tcPr>
          <w:p w14:paraId="3D59CF45" w14:textId="7294A26E" w:rsidR="008A1B38" w:rsidRPr="008A1B38" w:rsidRDefault="008A1B38" w:rsidP="008A1B38">
            <w:pPr>
              <w:pStyle w:val="TMETablecells"/>
            </w:pPr>
            <w:r w:rsidRPr="008A1B38">
              <w:t>It was uncomfortable to not know what was going on [in the other culture] –Kevious</w:t>
            </w:r>
          </w:p>
        </w:tc>
      </w:tr>
      <w:tr w:rsidR="00820319" w:rsidRPr="008A1B38" w14:paraId="31EC3B30" w14:textId="77777777" w:rsidTr="00820319">
        <w:trPr>
          <w:trHeight w:val="909"/>
        </w:trPr>
        <w:tc>
          <w:tcPr>
            <w:tcW w:w="1270" w:type="pct"/>
          </w:tcPr>
          <w:p w14:paraId="4F76FCEB" w14:textId="77777777" w:rsidR="008A1B38" w:rsidRPr="008A1B38" w:rsidRDefault="008A1B38" w:rsidP="008A1B38">
            <w:pPr>
              <w:pStyle w:val="TMETablecells"/>
            </w:pPr>
            <w:r w:rsidRPr="008A1B38">
              <w:t>Safety</w:t>
            </w:r>
          </w:p>
        </w:tc>
        <w:tc>
          <w:tcPr>
            <w:tcW w:w="1865" w:type="pct"/>
          </w:tcPr>
          <w:p w14:paraId="22D19079" w14:textId="77777777" w:rsidR="008A1B38" w:rsidRPr="008A1B38" w:rsidRDefault="008A1B38" w:rsidP="008A1B38">
            <w:pPr>
              <w:pStyle w:val="TMETablecells"/>
            </w:pPr>
            <w:r w:rsidRPr="008A1B38">
              <w:t>Passages where a participant indicated their level of emotional safety during Bafa Bafa</w:t>
            </w:r>
          </w:p>
        </w:tc>
        <w:tc>
          <w:tcPr>
            <w:tcW w:w="1865" w:type="pct"/>
          </w:tcPr>
          <w:p w14:paraId="0C0188DD" w14:textId="4B284BF9" w:rsidR="008A1B38" w:rsidRPr="008A1B38" w:rsidRDefault="008A1B38" w:rsidP="008A1B38">
            <w:pPr>
              <w:pStyle w:val="TMETablecells"/>
            </w:pPr>
            <w:r w:rsidRPr="008A1B38">
              <w:t>I never felt unsafe during Bafa Bafa. I did feel frustrated. Even now, I remember that. –Holly</w:t>
            </w:r>
          </w:p>
        </w:tc>
      </w:tr>
      <w:tr w:rsidR="00820319" w:rsidRPr="008A1B38" w14:paraId="349999C1" w14:textId="77777777" w:rsidTr="00AA62B9">
        <w:trPr>
          <w:trHeight w:val="2142"/>
        </w:trPr>
        <w:tc>
          <w:tcPr>
            <w:tcW w:w="1270" w:type="pct"/>
          </w:tcPr>
          <w:p w14:paraId="4EA75D0E" w14:textId="77777777" w:rsidR="008A1B38" w:rsidRPr="008A1B38" w:rsidRDefault="008A1B38" w:rsidP="008A1B38">
            <w:pPr>
              <w:pStyle w:val="TMETablecells"/>
            </w:pPr>
            <w:r w:rsidRPr="008A1B38">
              <w:t>Microaggression</w:t>
            </w:r>
          </w:p>
        </w:tc>
        <w:tc>
          <w:tcPr>
            <w:tcW w:w="1865" w:type="pct"/>
          </w:tcPr>
          <w:p w14:paraId="05A9B9E8" w14:textId="77777777" w:rsidR="008A1B38" w:rsidRPr="008A1B38" w:rsidRDefault="008A1B38" w:rsidP="008A1B38">
            <w:pPr>
              <w:pStyle w:val="TMETablecells"/>
            </w:pPr>
            <w:r w:rsidRPr="008A1B38">
              <w:t>Passages where participants mentioned microaggressions</w:t>
            </w:r>
          </w:p>
        </w:tc>
        <w:tc>
          <w:tcPr>
            <w:tcW w:w="1865" w:type="pct"/>
          </w:tcPr>
          <w:p w14:paraId="4D3CE7E8" w14:textId="63F76C97" w:rsidR="008A1B38" w:rsidRPr="008A1B38" w:rsidRDefault="008A1B38" w:rsidP="008A1B38">
            <w:pPr>
              <w:pStyle w:val="TMETablecells"/>
            </w:pPr>
            <w:r w:rsidRPr="008A1B38">
              <w:t xml:space="preserve">My husband is Mexican, and I’ve never got along well with my mother-in-law. I think I may be doing microaggressions to her, because when she gets mad at me, it’s always for something I thought was really small. </w:t>
            </w:r>
            <w:r w:rsidR="00820319" w:rsidRPr="008A1B38">
              <w:t>–</w:t>
            </w:r>
            <w:r w:rsidRPr="008A1B38">
              <w:t>Ann</w:t>
            </w:r>
          </w:p>
        </w:tc>
      </w:tr>
      <w:tr w:rsidR="00820319" w:rsidRPr="008A1B38" w14:paraId="2AF2AFEF" w14:textId="77777777" w:rsidTr="00AA62B9">
        <w:trPr>
          <w:trHeight w:val="900"/>
        </w:trPr>
        <w:tc>
          <w:tcPr>
            <w:tcW w:w="1270" w:type="pct"/>
          </w:tcPr>
          <w:p w14:paraId="03AC5F3A" w14:textId="77777777" w:rsidR="008A1B38" w:rsidRPr="008A1B38" w:rsidRDefault="008A1B38" w:rsidP="008A1B38">
            <w:pPr>
              <w:pStyle w:val="TMETablecells"/>
            </w:pPr>
            <w:r w:rsidRPr="008A1B38">
              <w:t>Belief Change</w:t>
            </w:r>
          </w:p>
        </w:tc>
        <w:tc>
          <w:tcPr>
            <w:tcW w:w="1865" w:type="pct"/>
          </w:tcPr>
          <w:p w14:paraId="2507AE39" w14:textId="260DD498" w:rsidR="008A1B38" w:rsidRPr="008A1B38" w:rsidRDefault="008A1B38" w:rsidP="008A1B38">
            <w:pPr>
              <w:pStyle w:val="TMETablecells"/>
            </w:pPr>
            <w:r w:rsidRPr="008A1B38">
              <w:t>Any beliefs that participants indicated changed throughout the semester</w:t>
            </w:r>
          </w:p>
        </w:tc>
        <w:tc>
          <w:tcPr>
            <w:tcW w:w="1865" w:type="pct"/>
          </w:tcPr>
          <w:p w14:paraId="32B37DED" w14:textId="147EADA2" w:rsidR="008A1B38" w:rsidRPr="008A1B38" w:rsidRDefault="008A1B38" w:rsidP="008A1B38">
            <w:pPr>
              <w:pStyle w:val="TMETablecells"/>
            </w:pPr>
            <w:r w:rsidRPr="008A1B38">
              <w:t xml:space="preserve">I don’t know that I changed any beliefs, but I fell more open to the idea of new ones. </w:t>
            </w:r>
            <w:r w:rsidR="00820319" w:rsidRPr="008A1B38">
              <w:t>–</w:t>
            </w:r>
            <w:r w:rsidRPr="008A1B38">
              <w:t>Paige</w:t>
            </w:r>
          </w:p>
        </w:tc>
      </w:tr>
      <w:tr w:rsidR="00820319" w:rsidRPr="008A1B38" w14:paraId="41B1025B" w14:textId="77777777" w:rsidTr="00AA62B9">
        <w:trPr>
          <w:trHeight w:val="1089"/>
        </w:trPr>
        <w:tc>
          <w:tcPr>
            <w:tcW w:w="1270" w:type="pct"/>
            <w:tcBorders>
              <w:bottom w:val="single" w:sz="4" w:space="0" w:color="auto"/>
            </w:tcBorders>
          </w:tcPr>
          <w:p w14:paraId="3B543E90" w14:textId="77777777" w:rsidR="008A1B38" w:rsidRPr="008A1B38" w:rsidRDefault="008A1B38" w:rsidP="008A1B38">
            <w:pPr>
              <w:pStyle w:val="TMETablecells"/>
            </w:pPr>
            <w:r w:rsidRPr="008A1B38">
              <w:t>Belief Attribution</w:t>
            </w:r>
          </w:p>
        </w:tc>
        <w:tc>
          <w:tcPr>
            <w:tcW w:w="1865" w:type="pct"/>
            <w:tcBorders>
              <w:bottom w:val="single" w:sz="4" w:space="0" w:color="auto"/>
            </w:tcBorders>
          </w:tcPr>
          <w:p w14:paraId="29F0F2E1" w14:textId="77777777" w:rsidR="008A1B38" w:rsidRPr="008A1B38" w:rsidRDefault="008A1B38" w:rsidP="008A1B38">
            <w:pPr>
              <w:pStyle w:val="TMETablecells"/>
            </w:pPr>
            <w:r w:rsidRPr="008A1B38">
              <w:t>What participants attributed and belief changes to</w:t>
            </w:r>
          </w:p>
        </w:tc>
        <w:tc>
          <w:tcPr>
            <w:tcW w:w="1865" w:type="pct"/>
            <w:tcBorders>
              <w:bottom w:val="single" w:sz="4" w:space="0" w:color="auto"/>
            </w:tcBorders>
          </w:tcPr>
          <w:p w14:paraId="1BA2700A" w14:textId="2506CCDD" w:rsidR="008A1B38" w:rsidRPr="008A1B38" w:rsidRDefault="008A1B38" w:rsidP="008A1B38">
            <w:pPr>
              <w:pStyle w:val="TMETablecells"/>
            </w:pPr>
            <w:r w:rsidRPr="008A1B38">
              <w:t xml:space="preserve">I think the journals and discussion boards were what got me thinking. Especially the one about Ken and Bart. </w:t>
            </w:r>
            <w:r w:rsidR="00820319" w:rsidRPr="008A1B38">
              <w:t>–</w:t>
            </w:r>
            <w:r w:rsidRPr="008A1B38">
              <w:t>Yeny</w:t>
            </w:r>
          </w:p>
        </w:tc>
      </w:tr>
    </w:tbl>
    <w:p w14:paraId="4A9CCD6E" w14:textId="77777777" w:rsidR="008A1B38" w:rsidRPr="008A1B38" w:rsidRDefault="008A1B38" w:rsidP="00A664E9">
      <w:pPr>
        <w:pStyle w:val="Heading1"/>
        <w:rPr>
          <w:rFonts w:eastAsia="Batang"/>
          <w:noProof/>
        </w:rPr>
      </w:pPr>
      <w:r w:rsidRPr="00A664E9">
        <w:t>Findings</w:t>
      </w:r>
    </w:p>
    <w:p w14:paraId="18F8F664" w14:textId="6978B8F2" w:rsidR="008A1B38" w:rsidRPr="008A1B38" w:rsidRDefault="008A1B38" w:rsidP="008A1B38">
      <w:pPr>
        <w:pStyle w:val="TMEBodytext"/>
      </w:pPr>
      <w:r w:rsidRPr="008A1B38">
        <w:t xml:space="preserve">In this activity, we wanted the students to have an experience where they were part of the non-dominant culture, particularly for the students who may not have had such an </w:t>
      </w:r>
      <w:r w:rsidRPr="008A1B38">
        <w:lastRenderedPageBreak/>
        <w:t>experience in their previous school career. We then wanted to tie that experience to the mathematics classroom to help our pre-service teachers realize that the mathematics classroom is not culture-free.  Additionally, since this activity was embedded into a History of Mathematics course, we wanted the pre-service middle school teachers to begin to think about how to apply both their experience and the History of Mathematics in their future classroom.</w:t>
      </w:r>
    </w:p>
    <w:p w14:paraId="05FD4A79" w14:textId="52952DEB" w:rsidR="008A1B38" w:rsidRPr="008A1B38" w:rsidRDefault="008A1B38" w:rsidP="008A1B38">
      <w:pPr>
        <w:pStyle w:val="TMEBodytext"/>
      </w:pPr>
      <w:r w:rsidRPr="008A1B38">
        <w:t>After discussing the activity and debriefing, we will discuss students’ reactions to the readings, their reflection papers, the interviews, and the rest of the semester. Overall, the pre-service teachers found Bafa Bafa a powerful but uncomfortable common experience that sparked meaningful reflections and provided opportunities for future discussions.</w:t>
      </w:r>
    </w:p>
    <w:p w14:paraId="611EBF60" w14:textId="77777777" w:rsidR="008A1B38" w:rsidRPr="008A1B38" w:rsidRDefault="008A1B38" w:rsidP="00CB64B4">
      <w:pPr>
        <w:pStyle w:val="TMEHeading2"/>
        <w:rPr>
          <w:rFonts w:eastAsia="Batang"/>
          <w:noProof/>
        </w:rPr>
      </w:pPr>
      <w:r w:rsidRPr="008A1B38">
        <w:rPr>
          <w:rFonts w:eastAsia="Batang"/>
          <w:noProof/>
        </w:rPr>
        <w:t>Bafa Bafa and Debriefing</w:t>
      </w:r>
    </w:p>
    <w:p w14:paraId="74585E6F" w14:textId="01CF722C" w:rsidR="008A1B38" w:rsidRPr="008A1B38" w:rsidRDefault="008A1B38" w:rsidP="00CB64B4">
      <w:pPr>
        <w:pStyle w:val="TMEBodytext"/>
      </w:pPr>
      <w:r w:rsidRPr="008A1B38">
        <w:t xml:space="preserve">Students in the Alpha culture who </w:t>
      </w:r>
      <w:r w:rsidR="00CB64B4">
        <w:t>visited</w:t>
      </w:r>
      <w:r w:rsidRPr="008A1B38">
        <w:t xml:space="preserve"> the Beta culture found the experience to be quite disconcerting. They found it upsetting to be punished without understanding the rules of the dominant culture and to be exiled just as soon as they began to grasp that the new culture operated on different rules from their original culture. We found that the students </w:t>
      </w:r>
      <w:r w:rsidR="00CB64B4">
        <w:t>who visited</w:t>
      </w:r>
      <w:r w:rsidRPr="008A1B38">
        <w:t xml:space="preserve"> the Beta culture tended to gravitate toward each other almost to the point of self-segregation because they wanted to avoid exile and understood the norms of their own culture.</w:t>
      </w:r>
    </w:p>
    <w:p w14:paraId="1231C662" w14:textId="0E5BB2B1" w:rsidR="008A1B38" w:rsidRPr="008A1B38" w:rsidRDefault="008A1B38" w:rsidP="00C541D3">
      <w:pPr>
        <w:pStyle w:val="TMEBodytext"/>
      </w:pPr>
      <w:r w:rsidRPr="008A1B38">
        <w:t>When the Beta students visited the Alpha culture, things were generally less tense, since the Alpha culture was designed to be more tolerant of errors. However, if the Beta students were rude to the elder Alpha student, the Beta students found themselves punished. Beta students found such actions more understandable given the cultural lens they were working from in this activity. The biggest challenge for the Beta students was in the game itself since the Alpha culture was less competitive; they were less likely to initiate the game play and trade cards.</w:t>
      </w:r>
    </w:p>
    <w:p w14:paraId="45B54C6C" w14:textId="6EE2E653" w:rsidR="008A1B38" w:rsidRPr="008A1B38" w:rsidRDefault="008A1B38" w:rsidP="00C541D3">
      <w:pPr>
        <w:pStyle w:val="TMEBodytext"/>
      </w:pPr>
      <w:r w:rsidRPr="008A1B38">
        <w:t xml:space="preserve">Once all the students had a chance to experience the other culture, we began discussions within each culture about their experiences. We spent ten minutes debriefing each group about what happened </w:t>
      </w:r>
      <w:r w:rsidR="00C541D3">
        <w:t>during</w:t>
      </w:r>
      <w:r w:rsidRPr="008A1B38">
        <w:t xml:space="preserve"> their trip to the other culture. All the </w:t>
      </w:r>
      <w:r w:rsidRPr="008A1B38">
        <w:lastRenderedPageBreak/>
        <w:t xml:space="preserve">Alpha students discussed how quickly they were exiled and that it was uncomfortable to not know what to do. Three of the students in the Alpha culture talked about how this activity could relate to ELL students without any prompting from the facilitator. In the Beta culture, they mostly discussed the experiences of Holly, who had accidentally insulted the </w:t>
      </w:r>
      <w:r w:rsidR="00C541D3">
        <w:t>Alpha</w:t>
      </w:r>
      <w:r w:rsidRPr="008A1B38">
        <w:t xml:space="preserve"> elder and how that experience differed from the rest of the Alpha visits.</w:t>
      </w:r>
    </w:p>
    <w:p w14:paraId="0C835A49" w14:textId="045EF1B1" w:rsidR="008A1B38" w:rsidRPr="008A1B38" w:rsidRDefault="008A1B38" w:rsidP="00CC755C">
      <w:pPr>
        <w:pStyle w:val="TMEBodytext"/>
      </w:pPr>
      <w:r w:rsidRPr="008A1B38">
        <w:t>Once each culture had discussed their experiences within their group, we brought the class together for the last 15 minutes of class to discuss the activity. After disclosing the group norms, each group talked about how excluded they felt in the new culture. The Alpha group talked about how they began to self-segregate to avoid exile, and we led the class to a discussion of how cultural norms of the dominant culture can lead to institutional racism. We ended class with a discussion on how this activity may have parallels for their future classrooms, particularly for their ELL students. Since this activity was conducted on a Thursday, we gave students until the following Tuesday to write and turn in their reflection papers. Although students found Bafa Bafa to be an uncomfortable activity, no one reported feeling unsafe, and this activity helped set the tone for the rest of the semester.</w:t>
      </w:r>
    </w:p>
    <w:p w14:paraId="262B52B3" w14:textId="77777777" w:rsidR="008A1B38" w:rsidRPr="008A1B38" w:rsidRDefault="008A1B38" w:rsidP="007C2F9C">
      <w:pPr>
        <w:pStyle w:val="TMEHeading2"/>
        <w:rPr>
          <w:rFonts w:eastAsia="Batang"/>
          <w:noProof/>
        </w:rPr>
      </w:pPr>
      <w:r w:rsidRPr="008A1B38">
        <w:rPr>
          <w:rFonts w:eastAsia="Batang"/>
          <w:noProof/>
        </w:rPr>
        <w:t>Uncomfortable</w:t>
      </w:r>
    </w:p>
    <w:p w14:paraId="7C7F21E5" w14:textId="5E5D32C0" w:rsidR="008A1B38" w:rsidRPr="008A1B38" w:rsidRDefault="008A1B38" w:rsidP="00CC755C">
      <w:pPr>
        <w:pStyle w:val="TMEBodytext"/>
      </w:pPr>
      <w:r w:rsidRPr="008A1B38">
        <w:tab/>
        <w:t>Overall, students found Bafa Bafa to be an uncomfortable experience. For students like Yeny, Bafa Bafa reminded her of being an ELL student</w:t>
      </w:r>
      <w:r w:rsidR="00F25484">
        <w:t>. In her reflection paper, she wrote</w:t>
      </w:r>
    </w:p>
    <w:p w14:paraId="3D0A18A5" w14:textId="3870E816" w:rsidR="008A1B38" w:rsidRPr="008A1B38" w:rsidRDefault="008A1B38" w:rsidP="007C2F9C">
      <w:pPr>
        <w:pStyle w:val="TMEBlockQuote"/>
        <w:rPr>
          <w:rFonts w:eastAsia="Batang"/>
          <w:noProof/>
        </w:rPr>
      </w:pPr>
      <w:r w:rsidRPr="008A1B38">
        <w:rPr>
          <w:rFonts w:eastAsia="Batang"/>
          <w:noProof/>
        </w:rPr>
        <w:t>This activity reminded me of what is was like after moving here from Mexico. I only knew a little English, and in Bafa Bafa, we only knew a few words, so it was hard to communicate and made me think of elementary school.</w:t>
      </w:r>
      <w:r w:rsidR="007C2F9C">
        <w:rPr>
          <w:rFonts w:eastAsia="Batang"/>
          <w:noProof/>
        </w:rPr>
        <w:t xml:space="preserve"> </w:t>
      </w:r>
    </w:p>
    <w:p w14:paraId="55D7975A" w14:textId="0B028FFA" w:rsidR="008A1B38" w:rsidRPr="008A1B38" w:rsidRDefault="008A1B38" w:rsidP="00AD07D0">
      <w:pPr>
        <w:pStyle w:val="TMEBodytext"/>
        <w:ind w:firstLine="0"/>
      </w:pPr>
      <w:r w:rsidRPr="008A1B38">
        <w:t>Gayle, who was originally in the Beta culture, reported a similar experience to Yeny when she visited the Alpha culture in her reflection paper:</w:t>
      </w:r>
    </w:p>
    <w:p w14:paraId="168A82B2" w14:textId="29C0ABA9" w:rsidR="008A1B38" w:rsidRPr="008A1B38" w:rsidRDefault="008A1B38" w:rsidP="00EC4E11">
      <w:pPr>
        <w:pStyle w:val="TMEBlockQuote"/>
        <w:rPr>
          <w:rFonts w:eastAsia="Batang"/>
          <w:noProof/>
        </w:rPr>
      </w:pPr>
      <w:r w:rsidRPr="008A1B38">
        <w:rPr>
          <w:rFonts w:eastAsia="Batang"/>
          <w:noProof/>
        </w:rPr>
        <w:lastRenderedPageBreak/>
        <w:t>I could tell right away that the Alpha culture had different rules than we did. I noticed right away that they didn’t have stickers, and I wasn’t punished when I made mistakes. It was easier to play with Kevious [the other visiting Beta] though, because he knew my rules. I just didn’t have a way to ask the Alphas for help.</w:t>
      </w:r>
    </w:p>
    <w:p w14:paraId="429F5128" w14:textId="3B6A0B06" w:rsidR="008A1B38" w:rsidRPr="008A1B38" w:rsidRDefault="008A1B38" w:rsidP="008B5539">
      <w:pPr>
        <w:pStyle w:val="TMEBodytext"/>
        <w:ind w:firstLine="0"/>
      </w:pPr>
      <w:r w:rsidRPr="008A1B38">
        <w:t>Kevious, too, found it difficult to assimilate the rules of the Alpha culture when he visited. As he mentioned in his interview:</w:t>
      </w:r>
    </w:p>
    <w:p w14:paraId="19BC0120" w14:textId="5F8639F3" w:rsidR="008A1B38" w:rsidRPr="008A1B38" w:rsidRDefault="008A1B38" w:rsidP="00E40BDE">
      <w:pPr>
        <w:pStyle w:val="TMEBlockQuote"/>
        <w:rPr>
          <w:rFonts w:eastAsia="Batang"/>
          <w:noProof/>
        </w:rPr>
      </w:pPr>
      <w:r w:rsidRPr="008A1B38">
        <w:rPr>
          <w:rFonts w:eastAsia="Batang"/>
          <w:noProof/>
        </w:rPr>
        <w:t>I knew that the other culture wasn’t playing by the same rules as us. It was uncomfortable to not know what was going on, when only Gayle and I didn’t know. It was like being the new kid at school, because everyone knows how the classroom works except you, only worse.</w:t>
      </w:r>
    </w:p>
    <w:p w14:paraId="4D14FB49" w14:textId="6E35C6A9" w:rsidR="008A1B38" w:rsidRPr="008A1B38" w:rsidRDefault="008A1B38" w:rsidP="00543F63">
      <w:pPr>
        <w:pStyle w:val="TMEBodytext"/>
        <w:ind w:firstLine="0"/>
      </w:pPr>
      <w:r w:rsidRPr="008A1B38">
        <w:t>Holly, who visited the Beta culture, agreed in her interview with Gayle and Kevious that it was an uncomfortable experience, mostly because she did not understand the rules in the culture she visited:</w:t>
      </w:r>
    </w:p>
    <w:p w14:paraId="41F3568F" w14:textId="2013274D" w:rsidR="008A1B38" w:rsidRPr="008A1B38" w:rsidRDefault="008A1B38" w:rsidP="0000485E">
      <w:pPr>
        <w:pStyle w:val="TMEBlockQuote"/>
        <w:rPr>
          <w:rFonts w:eastAsia="Batang"/>
          <w:noProof/>
        </w:rPr>
      </w:pPr>
      <w:r w:rsidRPr="008A1B38">
        <w:rPr>
          <w:rFonts w:eastAsia="Batang"/>
          <w:noProof/>
        </w:rPr>
        <w:t>I didn’t like visiting the other culture. I didn’t understand how they played the card game. It was frustrating…no one was mean to me or anything, but no one tried to help Ann and I either. We started to play with each other, with our rules [from the Alpha culture], because we knew how to play that way.</w:t>
      </w:r>
    </w:p>
    <w:p w14:paraId="2F4C9394" w14:textId="77777777" w:rsidR="008A1B38" w:rsidRPr="008A1B38" w:rsidRDefault="008A1B38" w:rsidP="00A675CC">
      <w:pPr>
        <w:pStyle w:val="TMEHeading2"/>
        <w:rPr>
          <w:rFonts w:eastAsia="Batang"/>
          <w:noProof/>
        </w:rPr>
      </w:pPr>
      <w:r w:rsidRPr="008A1B38">
        <w:rPr>
          <w:rFonts w:eastAsia="Batang"/>
          <w:noProof/>
        </w:rPr>
        <w:t>Safety</w:t>
      </w:r>
    </w:p>
    <w:p w14:paraId="7E01D65B" w14:textId="77209FEC" w:rsidR="008A1B38" w:rsidRPr="008A1B38" w:rsidRDefault="008A1B38" w:rsidP="00CC755C">
      <w:pPr>
        <w:pStyle w:val="TMEBodytext"/>
        <w:rPr>
          <w:bCs/>
        </w:rPr>
      </w:pPr>
      <w:r w:rsidRPr="008A1B38">
        <w:rPr>
          <w:b/>
        </w:rPr>
        <w:tab/>
      </w:r>
      <w:r w:rsidRPr="008A1B38">
        <w:rPr>
          <w:bCs/>
        </w:rPr>
        <w:t xml:space="preserve">When </w:t>
      </w:r>
      <w:r w:rsidR="00F25484">
        <w:rPr>
          <w:bCs/>
        </w:rPr>
        <w:t>implement</w:t>
      </w:r>
      <w:r w:rsidRPr="008A1B38">
        <w:rPr>
          <w:bCs/>
        </w:rPr>
        <w:t xml:space="preserve"> Bafa Bafa, we were concerned that we might accidently inflict more classroom trauma upon our students. During the end of the semester interviews, we asked students to tell us if they felt that Bafa Bafa may have exacerbated any existing tensions in the classroom. Although no student felt that Bafa Bafa was more tense than the daily classroom activities, participants indicated some parts of the activities were less comfortable for those students who were not white female students. Kevious, the only male student in the class, explained in his interview, “As the only man in class I was </w:t>
      </w:r>
      <w:r w:rsidRPr="008A1B38">
        <w:rPr>
          <w:bCs/>
        </w:rPr>
        <w:lastRenderedPageBreak/>
        <w:t xml:space="preserve">uncomfortable with how one group stood close to each other, but I didn’t feel like my classmates were treating each other differently other than how the rules said to.” Andrea, who was rarely outspoken in class, had more to say in her </w:t>
      </w:r>
      <w:r w:rsidR="007C5EE2">
        <w:rPr>
          <w:bCs/>
        </w:rPr>
        <w:t xml:space="preserve">end of semester </w:t>
      </w:r>
      <w:r w:rsidRPr="008A1B38">
        <w:rPr>
          <w:bCs/>
        </w:rPr>
        <w:t>interview about whether she felt safe during Bafa Bafa:</w:t>
      </w:r>
    </w:p>
    <w:p w14:paraId="597C9A81" w14:textId="1FF6D8FD" w:rsidR="008A1B38" w:rsidRPr="008A1B38" w:rsidRDefault="008A1B38" w:rsidP="007C5EE2">
      <w:pPr>
        <w:pStyle w:val="TMEBlockQuote"/>
        <w:rPr>
          <w:rFonts w:eastAsia="Batang"/>
          <w:noProof/>
        </w:rPr>
      </w:pPr>
      <w:r w:rsidRPr="008A1B38">
        <w:rPr>
          <w:rFonts w:eastAsia="Batang"/>
          <w:noProof/>
        </w:rPr>
        <w:t>No, I didn’t feel unsafe. Though it did leave a weird impression. Because last semester was the first class we were together, but we were in groups. So, we didn’t all work with each other, this was my first interaction with some of my classmates. I don’t know how they feel about me, but it was good to work as a whole class…I don’t think anyone used the activity to single anyone out or do microaggressions on purpose.</w:t>
      </w:r>
    </w:p>
    <w:p w14:paraId="67DC5564" w14:textId="69D53DDD" w:rsidR="008A1B38" w:rsidRPr="008A1B38" w:rsidRDefault="008A1B38" w:rsidP="00CC755C">
      <w:pPr>
        <w:pStyle w:val="TMEBodytext"/>
      </w:pPr>
      <w:r w:rsidRPr="008A1B38">
        <w:tab/>
        <w:t>In addition to Bafa Bafa, students read two papers about microaggressions before they were asked to write their reflection papers about the activity. The responses to the reading in the reflection papers were generally positive; all of the students discussed the reading in their reflection papers</w:t>
      </w:r>
      <w:r w:rsidR="007C5EE2">
        <w:t>,</w:t>
      </w:r>
      <w:r w:rsidRPr="008A1B38">
        <w:t xml:space="preserve"> and nine of them mentioned something in the reading that they hadn’t known before. Seven of the students were able to tie the reading on microaggressions to their life or their future teaching careers. The students reacted to the readings along racial lines. For example, Ann discussed </w:t>
      </w:r>
      <w:r w:rsidR="00FB4ED7">
        <w:t xml:space="preserve">in her reflection paper </w:t>
      </w:r>
      <w:r w:rsidRPr="008A1B38">
        <w:t>how her interactions with her mother-in-law may be driven by microaggressions:</w:t>
      </w:r>
    </w:p>
    <w:p w14:paraId="3A0C8344" w14:textId="5A1E36DC" w:rsidR="008A1B38" w:rsidRPr="008A1B38" w:rsidRDefault="008A1B38" w:rsidP="00FB4ED7">
      <w:pPr>
        <w:pStyle w:val="TMEBlockQuote"/>
        <w:rPr>
          <w:rFonts w:eastAsia="Batang"/>
          <w:noProof/>
        </w:rPr>
      </w:pPr>
      <w:r w:rsidRPr="008A1B38">
        <w:rPr>
          <w:rFonts w:eastAsia="Batang"/>
          <w:noProof/>
        </w:rPr>
        <w:t>My husband is Mexican, and I’ve never got along well with my mother-in-law. I think I may be doing microaggressions to her, because when she gets mad at me, it’s always for something I thought was really small. After doing the reading, I think I may be saying more than I mean to her.</w:t>
      </w:r>
    </w:p>
    <w:p w14:paraId="68DCE1D1" w14:textId="31CAC9D8" w:rsidR="008A1B38" w:rsidRPr="008A1B38" w:rsidRDefault="008A1B38" w:rsidP="009B0C68">
      <w:pPr>
        <w:pStyle w:val="TMEBodytext"/>
        <w:ind w:firstLine="0"/>
      </w:pPr>
      <w:r w:rsidRPr="008A1B38">
        <w:t>Some, like Paige, thought of microaggressions as something they needed to avoid in their future classrooms:</w:t>
      </w:r>
    </w:p>
    <w:p w14:paraId="51B3BB42" w14:textId="19D23B80" w:rsidR="008A1B38" w:rsidRPr="008A1B38" w:rsidRDefault="008A1B38" w:rsidP="009B0C68">
      <w:pPr>
        <w:pStyle w:val="TMEBlockQuote"/>
        <w:rPr>
          <w:rFonts w:eastAsia="Batang"/>
          <w:noProof/>
        </w:rPr>
      </w:pPr>
      <w:r w:rsidRPr="008A1B38">
        <w:rPr>
          <w:rFonts w:eastAsia="Batang"/>
          <w:noProof/>
        </w:rPr>
        <w:t>As teachers, we have a lot of power over how are</w:t>
      </w:r>
      <w:r w:rsidR="00F25484">
        <w:rPr>
          <w:rFonts w:eastAsia="Batang"/>
          <w:noProof/>
        </w:rPr>
        <w:t xml:space="preserve"> </w:t>
      </w:r>
      <w:r w:rsidRPr="008A1B38">
        <w:rPr>
          <w:rFonts w:eastAsia="Batang"/>
          <w:noProof/>
        </w:rPr>
        <w:t>[</w:t>
      </w:r>
      <w:r w:rsidR="00F25484" w:rsidRPr="00F25484">
        <w:rPr>
          <w:rFonts w:eastAsia="Batang"/>
          <w:i/>
          <w:iCs/>
          <w:noProof/>
        </w:rPr>
        <w:t>sic</w:t>
      </w:r>
      <w:r w:rsidRPr="008A1B38">
        <w:rPr>
          <w:rFonts w:eastAsia="Batang"/>
          <w:noProof/>
        </w:rPr>
        <w:t xml:space="preserve">] students feel. We need to carefully watch what we say and how [we say it] to all of our students, because we never want </w:t>
      </w:r>
      <w:r w:rsidRPr="008A1B38">
        <w:rPr>
          <w:rFonts w:eastAsia="Batang"/>
          <w:noProof/>
        </w:rPr>
        <w:lastRenderedPageBreak/>
        <w:t>them to feel excluded like I did during Bafa Bafa. The readings were long, but I was glad to get some ideas of the kind of things I could say without meaning to be mean that could be a microaggression and really hurt my relationships with my students</w:t>
      </w:r>
      <w:r w:rsidR="009B0C68">
        <w:rPr>
          <w:rFonts w:eastAsia="Batang"/>
          <w:noProof/>
        </w:rPr>
        <w:t>.</w:t>
      </w:r>
    </w:p>
    <w:p w14:paraId="30E885BC" w14:textId="157AA89B" w:rsidR="008A1B38" w:rsidRPr="008A1B38" w:rsidRDefault="008A1B38" w:rsidP="003C76FA">
      <w:pPr>
        <w:pStyle w:val="TMEBodytext"/>
        <w:ind w:firstLine="0"/>
      </w:pPr>
      <w:r w:rsidRPr="008A1B38">
        <w:t>Karis, one of the students of color, found the readings enlightening for a different reason. She had not heard of microaggressions before and found the vocabulary to be freeing:</w:t>
      </w:r>
    </w:p>
    <w:p w14:paraId="58CA4BFA" w14:textId="633A1DB8" w:rsidR="008A1B38" w:rsidRPr="008A1B38" w:rsidRDefault="008A1B38" w:rsidP="003C76FA">
      <w:pPr>
        <w:pStyle w:val="TMEBlockQuote"/>
        <w:rPr>
          <w:rFonts w:eastAsia="Batang"/>
          <w:noProof/>
        </w:rPr>
      </w:pPr>
      <w:r w:rsidRPr="008A1B38">
        <w:rPr>
          <w:rFonts w:eastAsia="Batang"/>
          <w:noProof/>
        </w:rPr>
        <w:t>I never had a word for it before, but after doing the reading, I know that I experience microaggressions all the time. Like last semester, when we were in pre-calc, we worked in groups, and someone would always be asking if people agreed with me when I said an answer. They didn’t do that when someone white said the answer first. Now there is maybe a way to talk about this with my classmates, because there is a word for it.</w:t>
      </w:r>
    </w:p>
    <w:p w14:paraId="79D7542F" w14:textId="65AF8819" w:rsidR="008A1B38" w:rsidRPr="008A1B38" w:rsidRDefault="008A1B38" w:rsidP="00CC755C">
      <w:pPr>
        <w:pStyle w:val="TMEBodytext"/>
      </w:pPr>
      <w:r w:rsidRPr="008A1B38">
        <w:t xml:space="preserve">We also analyzed the journals and discussion boards, which students wrote semi-anonymously throughout the semester. None of the reflection papers, the journals, or the end of the semester interviews indicated a student felt unsafe during the Bafa Bafa activity.  </w:t>
      </w:r>
    </w:p>
    <w:p w14:paraId="54C58649" w14:textId="77777777" w:rsidR="008A1B38" w:rsidRPr="008A1B38" w:rsidRDefault="008A1B38" w:rsidP="00D25FEA">
      <w:pPr>
        <w:pStyle w:val="TMEHeading2"/>
        <w:rPr>
          <w:rFonts w:eastAsia="Batang"/>
          <w:noProof/>
        </w:rPr>
      </w:pPr>
      <w:r w:rsidRPr="008A1B38">
        <w:rPr>
          <w:rFonts w:eastAsia="Batang"/>
          <w:noProof/>
        </w:rPr>
        <w:t>Beyond Bafa Bafa</w:t>
      </w:r>
    </w:p>
    <w:p w14:paraId="57B3B39C" w14:textId="1D92F07A" w:rsidR="008A1B38" w:rsidRPr="008A1B38" w:rsidRDefault="008A1B38" w:rsidP="00CC755C">
      <w:pPr>
        <w:pStyle w:val="TMEBodytext"/>
      </w:pPr>
      <w:r w:rsidRPr="008A1B38">
        <w:t>For the remainder of the semester after Bafa Bafa, we conducted two other ethnomathematics activity days, including a privilege walk and a selection of activities from various educational blogs. Additionally, students completed biweekly journals about ethnomathematics, microaggressions, and power (Dibbs</w:t>
      </w:r>
      <w:r w:rsidR="00D25FEA">
        <w:t xml:space="preserve"> et al.</w:t>
      </w:r>
      <w:r w:rsidRPr="008A1B38">
        <w:t xml:space="preserve">, 2019) and </w:t>
      </w:r>
      <w:r w:rsidR="00F25484">
        <w:t>made</w:t>
      </w:r>
      <w:r w:rsidRPr="008A1B38">
        <w:t xml:space="preserve"> significant cultural responsiveness gains as measured by a pre- and post- semester survey (Lewis, 2016). In our end of semester interviews, we asked students, what, if anything</w:t>
      </w:r>
      <w:r w:rsidR="00F25484">
        <w:t>,</w:t>
      </w:r>
      <w:r w:rsidRPr="008A1B38">
        <w:t xml:space="preserve"> they attributed any changes in beliefs and attitudes to throughout the semester. Seven of the students mentioned Bafa Bafa in some way. However, as Brandi explained, Bafa Bafa was not necessarily the cause of her change, but rather a catalyst:</w:t>
      </w:r>
    </w:p>
    <w:p w14:paraId="6E8B3495" w14:textId="519E9A41" w:rsidR="008A1B38" w:rsidRPr="008A1B38" w:rsidRDefault="008A1B38" w:rsidP="00AA14F4">
      <w:pPr>
        <w:pStyle w:val="TMEBlockQuote"/>
        <w:rPr>
          <w:rFonts w:eastAsia="Batang"/>
          <w:noProof/>
        </w:rPr>
      </w:pPr>
      <w:r w:rsidRPr="008A1B38">
        <w:rPr>
          <w:rFonts w:eastAsia="Batang"/>
          <w:noProof/>
        </w:rPr>
        <w:lastRenderedPageBreak/>
        <w:t xml:space="preserve">Maybe it was because we did it first, but the thing I think helped the most was Bafa Bafa. It was really uncomfortable, but the activity and the reading made me aware that I might have an attitude. That made me more ready to, like, think about the journal prompts. </w:t>
      </w:r>
    </w:p>
    <w:p w14:paraId="1216E6A1" w14:textId="6591C03E" w:rsidR="008A1B38" w:rsidRPr="008A1B38" w:rsidRDefault="008A1B38" w:rsidP="00AA14F4">
      <w:pPr>
        <w:pStyle w:val="TMEBodytext"/>
        <w:ind w:firstLine="0"/>
      </w:pPr>
      <w:r w:rsidRPr="008A1B38">
        <w:t>Yeny thought Bafa Bafa was important for the class because it gave them a common experience to talk about, “When we had discussion boards or class discussions about social justice and mathematics, Bafa Bafa usually came up because it was a common experience that we could use to talk to our white classmates that they understood.” Andrea agreed, explaining, “Bafa Bafa gave me a way to frame my experiences, especially the reading we did with it.” Not all students thought that Bafa Bafa was a contributing factor in their change. For Gayle, the journals were much more important than any single activity:</w:t>
      </w:r>
    </w:p>
    <w:p w14:paraId="25AA0706" w14:textId="23890AA7" w:rsidR="008A1B38" w:rsidRPr="008A1B38" w:rsidRDefault="008A1B38" w:rsidP="00AA14F4">
      <w:pPr>
        <w:pStyle w:val="TMEBlockQuote"/>
        <w:rPr>
          <w:rFonts w:eastAsia="Batang"/>
          <w:noProof/>
        </w:rPr>
      </w:pPr>
      <w:r w:rsidRPr="008A1B38">
        <w:rPr>
          <w:rFonts w:eastAsia="Batang"/>
          <w:noProof/>
        </w:rPr>
        <w:t>For me, the most important thing we did was the journals and discussion boards. It was easier to be out with my classmates online, and I think they were more open to asking LGBTQ+ questions to me online than they would have been in class.</w:t>
      </w:r>
    </w:p>
    <w:p w14:paraId="498AAF44" w14:textId="16D80D93" w:rsidR="008A1B38" w:rsidRPr="008A1B38" w:rsidRDefault="008A1B38" w:rsidP="001C1ACA">
      <w:pPr>
        <w:pStyle w:val="TMEBodytext"/>
      </w:pPr>
      <w:r w:rsidRPr="008A1B38">
        <w:tab/>
        <w:t xml:space="preserve">For students who did mention Bafa Bafa as being important, we followed up and asked if they felt that Bafa Bafa caused any changes in their beliefs. None of the students believed Bafa Bafa changed their beliefs, but </w:t>
      </w:r>
      <w:r w:rsidR="001C1ACA">
        <w:t xml:space="preserve">they </w:t>
      </w:r>
      <w:r w:rsidRPr="008A1B38">
        <w:t>thought the activity held value, nevertheless. Jillian explained in her interview that, “No, but I think Bafa Bafa made me open to the idea of change. I think if I changed at all, it was because of the journals and the discussion boards.” Fana agreed with Jillian when she stated, “No, I don’t think any one thing made me change. But without Bafa Bafa I may not have paid as much attention to the other stuff.”</w:t>
      </w:r>
    </w:p>
    <w:p w14:paraId="6872B2D2" w14:textId="77777777" w:rsidR="008A1B38" w:rsidRPr="008A1B38" w:rsidRDefault="008A1B38" w:rsidP="001C1ACA">
      <w:pPr>
        <w:pStyle w:val="Heading1"/>
        <w:rPr>
          <w:rFonts w:eastAsia="Batang"/>
          <w:noProof/>
        </w:rPr>
      </w:pPr>
      <w:r w:rsidRPr="008A1B38">
        <w:rPr>
          <w:rFonts w:eastAsia="Batang"/>
          <w:noProof/>
        </w:rPr>
        <w:t>Discussion</w:t>
      </w:r>
    </w:p>
    <w:p w14:paraId="0DF456F6" w14:textId="52376798" w:rsidR="008A1B38" w:rsidRPr="008A1B38" w:rsidRDefault="008A1B38" w:rsidP="00E60919">
      <w:pPr>
        <w:pStyle w:val="TMEBodytext"/>
      </w:pPr>
      <w:r w:rsidRPr="008A1B38">
        <w:t xml:space="preserve">Bafa Bafa was an important activity for this class to begin the development of culturally responsive teachers. Culturally responsive teachers must have faith in the intellectual capabilities of all students and view learning </w:t>
      </w:r>
      <w:r w:rsidR="00132917">
        <w:t>as having</w:t>
      </w:r>
      <w:r w:rsidRPr="008A1B38">
        <w:t xml:space="preserve"> </w:t>
      </w:r>
      <w:r w:rsidRPr="008A1B38">
        <w:lastRenderedPageBreak/>
        <w:t>intellectual, academic, personal, social, ethical, and political dimensions (Aguirre &amp; Zavala, 2013). However, a prerequisite to developing this awareness is convincing pre-service teachers that mathematics is not culture-free (Aguirre &amp; Zavala, 2013).</w:t>
      </w:r>
    </w:p>
    <w:p w14:paraId="5C98C6F9" w14:textId="3DD18031" w:rsidR="008A1B38" w:rsidRPr="008A1B38" w:rsidRDefault="008A1B38" w:rsidP="00084FDB">
      <w:pPr>
        <w:pStyle w:val="TMEBodytext"/>
      </w:pPr>
      <w:r w:rsidRPr="008A1B38">
        <w:t xml:space="preserve">For our students, Bafa Bafa was uncomfortable. Participants noticed that visiting another culture led to reminders of being culturally isolated in the past, and even students who had not been culturally marginalized before found it easier to try to self-isolate rather than become ostracized by the other culture. This feeling of discomfort led our students to have opinions and led to a productive discussion. Coupled with the readings and the reflection, students began to engage with the idea that the </w:t>
      </w:r>
      <w:r w:rsidR="00E60919">
        <w:t xml:space="preserve">Bafa Bafe </w:t>
      </w:r>
      <w:r w:rsidRPr="008A1B38">
        <w:t>simulation of trading we did could not be separated from the Alpha and Beta cultures. This planted the seed for later ethnomathematics activities in the course.</w:t>
      </w:r>
    </w:p>
    <w:p w14:paraId="2744668F" w14:textId="242C6B4B" w:rsidR="008A1B38" w:rsidRPr="008A1B38" w:rsidRDefault="008A1B38" w:rsidP="007F0839">
      <w:pPr>
        <w:pStyle w:val="TMEBodytext"/>
      </w:pPr>
      <w:r w:rsidRPr="008A1B38">
        <w:t xml:space="preserve">Although students found the activity uncomfortable, no student reported feeling unsafe, or that Bafa Bafa caused a level of ostracization beyond the regular classroom environment. We asked students to discuss their feelings in the class debriefing, reflection, and end of semester interviews. No student reported safety concerns. We made sure that the instructor was not a member of the interviewing team, but it is </w:t>
      </w:r>
      <w:r w:rsidR="00084FDB">
        <w:t xml:space="preserve">still </w:t>
      </w:r>
      <w:r w:rsidRPr="008A1B38">
        <w:t>possible that students did not disclose feelings of lack of safety due to the lack of anonymity in their feedback. While this is a potential limitation of this project, all available evidence suggests that this was not an issue.</w:t>
      </w:r>
    </w:p>
    <w:p w14:paraId="77C11F5E" w14:textId="571CE0E1" w:rsidR="008A1B38" w:rsidRPr="008A1B38" w:rsidRDefault="008A1B38" w:rsidP="007F0839">
      <w:pPr>
        <w:pStyle w:val="TMEBodytext"/>
      </w:pPr>
      <w:r w:rsidRPr="008A1B38">
        <w:t>Additionally, the Bafa Bafa activity laid the foundation for later activities in the course by helping the pre-service teachers see that mathematics is not a culture-free activity. Bafa Bafa helped some students to see value in the readings, which helped them make connections later in the semester, and the simulation gave students a common experience to refer back to in class discussions and discussion boards. While not all students were equally successful in applying their experience from the simulation to their lives and future teaching careers, the pre-service teachers did realize that they needed more knowledge in order to be able to implement culturally-responsive pedagogy, which helped generate interest for ethnomathematics and equity related activities in the course.</w:t>
      </w:r>
    </w:p>
    <w:p w14:paraId="32AE7AFB" w14:textId="728C2730" w:rsidR="008A1B38" w:rsidRPr="008A1B38" w:rsidRDefault="008A1B38" w:rsidP="00CF0FC7">
      <w:pPr>
        <w:pStyle w:val="TMEBodytext"/>
      </w:pPr>
      <w:r w:rsidRPr="008A1B38">
        <w:lastRenderedPageBreak/>
        <w:t xml:space="preserve">We believe that the History of Mathematics course is the appropriate pre-service teacher content class in which to include discussions of equity. Since there is limited evidence that standalone culturally responsive teaching classes are effective, particularly for STEM teachers (Barton, 2000; </w:t>
      </w:r>
      <w:r w:rsidR="00934128">
        <w:t xml:space="preserve">Jenks et al. 2001; </w:t>
      </w:r>
      <w:r w:rsidRPr="008A1B38">
        <w:t>Krummel, 2013; Ladson-Billings, 2000), it makes sense to incorporate equity within at least one content class for pre-service mathematics teachers. History of Mathematics already has elements of exploring other cultures embedded into the course</w:t>
      </w:r>
      <w:r w:rsidR="00132917">
        <w:t>,</w:t>
      </w:r>
      <w:r w:rsidRPr="008A1B38">
        <w:t xml:space="preserve"> and it is a recommended upper level elective for all pre-service middle and secondary school teachers (Bezuk et al., 2017). Since History of Mathematics is typically a terminal course with no set amount of content to cover, it may be more politically feasible to use this course to begin to incorporate equity ideas in more conservative departments. Our students have also reported enjoying History of Mathematics more when equity was incorporated, as the synergy between the two topics helped make it clear how learning mathematics history was relevant to their future classrooms</w:t>
      </w:r>
      <w:r w:rsidR="00CF0FC7">
        <w:t>.</w:t>
      </w:r>
    </w:p>
    <w:p w14:paraId="1981AF59" w14:textId="6C66D771" w:rsidR="008A1B38" w:rsidRPr="008A1B38" w:rsidRDefault="008A1B38" w:rsidP="00045A54">
      <w:pPr>
        <w:pStyle w:val="TMEBodytext"/>
      </w:pPr>
      <w:r w:rsidRPr="008A1B38">
        <w:t>Based upon our experiences with implementing this activity, we have several suggestions for incorporating Bafa Bafa into the classroom. First, whenever possible, make activities content relevant. We had discussed mathematics as a part of the development of trade languages after doing Bafa Bafa, so the activity provided a nice segue back into history content. When implementing this activity in the future, we could consider warning students who were easily triggered that the activity may be uncomfortable. We also found that it was helpful to give the students our prepared discussion questions and to allow students to talk within their culture groups before beginning the whole class discussion. Finally, we recommend that students complete a written post-activity reflection or discussion board since it allows for the continuation of discussion ideas in a format that more students feel comfortable participating in.</w:t>
      </w:r>
    </w:p>
    <w:p w14:paraId="1F30AA39" w14:textId="77777777" w:rsidR="008A1B38" w:rsidRPr="00045A54" w:rsidRDefault="008A1B38" w:rsidP="00045A54">
      <w:pPr>
        <w:pStyle w:val="Heading1"/>
      </w:pPr>
      <w:r w:rsidRPr="00045A54">
        <w:t>References</w:t>
      </w:r>
    </w:p>
    <w:p w14:paraId="3CEEF261" w14:textId="77777777" w:rsidR="00934128" w:rsidRPr="00045A54" w:rsidRDefault="00934128" w:rsidP="00045A54">
      <w:pPr>
        <w:pStyle w:val="TMEReferencelist"/>
      </w:pPr>
      <w:r w:rsidRPr="00045A54">
        <w:t xml:space="preserve">Aguirre, J. M., &amp; del Rosario Zavala, M. (2013). Making culturally responsive mathematics teaching explicit: A lesson analysis </w:t>
      </w:r>
      <w:r w:rsidRPr="00045A54">
        <w:lastRenderedPageBreak/>
        <w:t>tool. </w:t>
      </w:r>
      <w:r w:rsidRPr="00045A54">
        <w:rPr>
          <w:i/>
          <w:iCs/>
        </w:rPr>
        <w:t>Pedagogies: An International Journal</w:t>
      </w:r>
      <w:r w:rsidRPr="00045A54">
        <w:t>, </w:t>
      </w:r>
      <w:r w:rsidRPr="00045A54">
        <w:rPr>
          <w:i/>
          <w:iCs/>
        </w:rPr>
        <w:t>8</w:t>
      </w:r>
      <w:r w:rsidRPr="00045A54">
        <w:t>(2), 163-190.</w:t>
      </w:r>
      <w:r>
        <w:t xml:space="preserve"> </w:t>
      </w:r>
      <w:hyperlink r:id="rId8" w:history="1">
        <w:r w:rsidRPr="002C4DA4">
          <w:rPr>
            <w:rStyle w:val="Hyperlink"/>
          </w:rPr>
          <w:t>https://doi.org/10.1080/1554480X.2013.768518</w:t>
        </w:r>
      </w:hyperlink>
    </w:p>
    <w:p w14:paraId="35D55326" w14:textId="77777777" w:rsidR="00934128" w:rsidRDefault="00934128" w:rsidP="0013723E">
      <w:pPr>
        <w:pStyle w:val="TMEReferencelist"/>
      </w:pPr>
      <w:r w:rsidRPr="0013723E">
        <w:rPr>
          <w:lang w:val="en-AU"/>
        </w:rPr>
        <w:t>Akimoto, S. (2016). Teaching cross-cultural psychology: Insights from an internationalized on-campus course. In D. Gross, K. Abrams, &amp; C. Z. Enns (Eds.), </w:t>
      </w:r>
      <w:r w:rsidRPr="0013723E">
        <w:rPr>
          <w:i/>
          <w:iCs/>
          <w:lang w:val="en-AU"/>
        </w:rPr>
        <w:t>Internationalizing the undergraduate psychology curriculum: Practical lessons learned at home and abroad</w:t>
      </w:r>
      <w:r w:rsidRPr="0013723E">
        <w:rPr>
          <w:lang w:val="en-AU"/>
        </w:rPr>
        <w:t> (pp. 181–197). American Psychological Association. </w:t>
      </w:r>
      <w:hyperlink r:id="rId9" w:tgtFrame="_blank" w:history="1">
        <w:r w:rsidRPr="0013723E">
          <w:rPr>
            <w:rStyle w:val="Hyperlink"/>
            <w:lang w:val="en-AU"/>
          </w:rPr>
          <w:t>https://doi.org/10.1037/14840-011</w:t>
        </w:r>
      </w:hyperlink>
    </w:p>
    <w:p w14:paraId="53E39F76" w14:textId="77777777" w:rsidR="00934128" w:rsidRDefault="00934128" w:rsidP="0013723E">
      <w:pPr>
        <w:pStyle w:val="TMEReferencelist"/>
        <w:rPr>
          <w:lang w:val="en-AU"/>
        </w:rPr>
      </w:pPr>
      <w:r w:rsidRPr="0013723E">
        <w:rPr>
          <w:lang w:val="en-AU"/>
        </w:rPr>
        <w:t xml:space="preserve">Averill, R., Anderson, D., Easton, H., </w:t>
      </w:r>
      <w:proofErr w:type="spellStart"/>
      <w:r w:rsidRPr="0013723E">
        <w:rPr>
          <w:lang w:val="en-AU"/>
        </w:rPr>
        <w:t>Te</w:t>
      </w:r>
      <w:proofErr w:type="spellEnd"/>
      <w:r w:rsidRPr="0013723E">
        <w:rPr>
          <w:lang w:val="en-AU"/>
        </w:rPr>
        <w:t xml:space="preserve"> </w:t>
      </w:r>
      <w:proofErr w:type="spellStart"/>
      <w:r w:rsidRPr="0013723E">
        <w:rPr>
          <w:lang w:val="en-AU"/>
        </w:rPr>
        <w:t>Maro</w:t>
      </w:r>
      <w:proofErr w:type="spellEnd"/>
      <w:r w:rsidRPr="0013723E">
        <w:rPr>
          <w:lang w:val="en-AU"/>
        </w:rPr>
        <w:t xml:space="preserve">, P., Smith, D., &amp; </w:t>
      </w:r>
      <w:proofErr w:type="spellStart"/>
      <w:r w:rsidRPr="0013723E">
        <w:rPr>
          <w:lang w:val="en-AU"/>
        </w:rPr>
        <w:t>Hynds</w:t>
      </w:r>
      <w:proofErr w:type="spellEnd"/>
      <w:r w:rsidRPr="0013723E">
        <w:rPr>
          <w:lang w:val="en-AU"/>
        </w:rPr>
        <w:t>, A. (2009). Culturally responsive teaching of mathematics: Three models from linked studies. </w:t>
      </w:r>
      <w:r w:rsidRPr="0013723E">
        <w:rPr>
          <w:i/>
          <w:iCs/>
          <w:lang w:val="en-AU"/>
        </w:rPr>
        <w:t>Journal for Research in Mathematics Education</w:t>
      </w:r>
      <w:r w:rsidRPr="0013723E">
        <w:rPr>
          <w:lang w:val="en-AU"/>
        </w:rPr>
        <w:t>, </w:t>
      </w:r>
      <w:r w:rsidRPr="0013723E">
        <w:rPr>
          <w:i/>
          <w:iCs/>
          <w:lang w:val="en-AU"/>
        </w:rPr>
        <w:t>40</w:t>
      </w:r>
      <w:r w:rsidRPr="0013723E">
        <w:rPr>
          <w:lang w:val="en-AU"/>
        </w:rPr>
        <w:t>(2), 157</w:t>
      </w:r>
      <w:r w:rsidRPr="00934128">
        <w:rPr>
          <w:lang w:val="en-AU"/>
        </w:rPr>
        <w:t>–</w:t>
      </w:r>
      <w:r w:rsidRPr="0013723E">
        <w:rPr>
          <w:lang w:val="en-AU"/>
        </w:rPr>
        <w:t>186.</w:t>
      </w:r>
      <w:r>
        <w:rPr>
          <w:lang w:val="en-AU"/>
        </w:rPr>
        <w:t xml:space="preserve"> </w:t>
      </w:r>
      <w:hyperlink r:id="rId10" w:history="1">
        <w:r w:rsidRPr="00800CA7">
          <w:rPr>
            <w:rStyle w:val="Hyperlink"/>
            <w:lang w:val="en-AU"/>
          </w:rPr>
          <w:t>https://doi.org/10.2307/40539330</w:t>
        </w:r>
      </w:hyperlink>
    </w:p>
    <w:p w14:paraId="5E6956B8" w14:textId="77777777" w:rsidR="00934128" w:rsidRDefault="00934128" w:rsidP="0013723E">
      <w:pPr>
        <w:pStyle w:val="TMEReferencelist"/>
        <w:rPr>
          <w:lang w:val="en-AU"/>
        </w:rPr>
      </w:pPr>
      <w:r w:rsidRPr="00561758">
        <w:rPr>
          <w:lang w:val="en-AU"/>
        </w:rPr>
        <w:t>Bahr, D., Monroe, E. E., &amp; Shaha, S. H. (2013). Examining preservice teacher belief changes in the context of coordinated mathematics methods coursework and classroom experiences. </w:t>
      </w:r>
      <w:r w:rsidRPr="00561758">
        <w:rPr>
          <w:i/>
          <w:iCs/>
          <w:lang w:val="en-AU"/>
        </w:rPr>
        <w:t>School Science and Mathematics</w:t>
      </w:r>
      <w:r w:rsidRPr="00561758">
        <w:rPr>
          <w:lang w:val="en-AU"/>
        </w:rPr>
        <w:t>, </w:t>
      </w:r>
      <w:r w:rsidRPr="00561758">
        <w:rPr>
          <w:i/>
          <w:iCs/>
          <w:lang w:val="en-AU"/>
        </w:rPr>
        <w:t>113</w:t>
      </w:r>
      <w:r w:rsidRPr="00561758">
        <w:rPr>
          <w:lang w:val="en-AU"/>
        </w:rPr>
        <w:t>(3), 144</w:t>
      </w:r>
      <w:r w:rsidRPr="00934128">
        <w:rPr>
          <w:lang w:val="en-AU"/>
        </w:rPr>
        <w:t>–</w:t>
      </w:r>
      <w:r w:rsidRPr="00561758">
        <w:rPr>
          <w:lang w:val="en-AU"/>
        </w:rPr>
        <w:t>155.</w:t>
      </w:r>
      <w:r>
        <w:rPr>
          <w:lang w:val="en-AU"/>
        </w:rPr>
        <w:t xml:space="preserve"> </w:t>
      </w:r>
      <w:hyperlink r:id="rId11" w:history="1">
        <w:r w:rsidRPr="00800CA7">
          <w:rPr>
            <w:rStyle w:val="Hyperlink"/>
            <w:lang w:val="en-AU"/>
          </w:rPr>
          <w:t>https://doi.org/10.1111/ssm.12010</w:t>
        </w:r>
      </w:hyperlink>
    </w:p>
    <w:p w14:paraId="0A30BD6B" w14:textId="77777777" w:rsidR="00934128" w:rsidRDefault="00934128" w:rsidP="0013723E">
      <w:pPr>
        <w:pStyle w:val="TMEReferencelist"/>
        <w:rPr>
          <w:lang w:val="en-AU"/>
        </w:rPr>
      </w:pPr>
      <w:r w:rsidRPr="0013723E">
        <w:rPr>
          <w:lang w:val="en-AU"/>
        </w:rPr>
        <w:t>Barton, A. C. (2000). Crafting multicultural science education with preservice teachers through service-learning. </w:t>
      </w:r>
      <w:r w:rsidRPr="0013723E">
        <w:rPr>
          <w:i/>
          <w:iCs/>
          <w:lang w:val="en-AU"/>
        </w:rPr>
        <w:t>Journal of Curriculum Studies</w:t>
      </w:r>
      <w:r w:rsidRPr="0013723E">
        <w:rPr>
          <w:lang w:val="en-AU"/>
        </w:rPr>
        <w:t>, </w:t>
      </w:r>
      <w:r w:rsidRPr="0013723E">
        <w:rPr>
          <w:i/>
          <w:iCs/>
          <w:lang w:val="en-AU"/>
        </w:rPr>
        <w:t>32</w:t>
      </w:r>
      <w:r w:rsidRPr="0013723E">
        <w:rPr>
          <w:lang w:val="en-AU"/>
        </w:rPr>
        <w:t>(6), 797</w:t>
      </w:r>
      <w:r w:rsidRPr="00934128">
        <w:rPr>
          <w:lang w:val="en-AU"/>
        </w:rPr>
        <w:t>–</w:t>
      </w:r>
      <w:r w:rsidRPr="0013723E">
        <w:rPr>
          <w:lang w:val="en-AU"/>
        </w:rPr>
        <w:t>820.</w:t>
      </w:r>
      <w:r>
        <w:rPr>
          <w:lang w:val="en-AU"/>
        </w:rPr>
        <w:t xml:space="preserve"> </w:t>
      </w:r>
      <w:hyperlink r:id="rId12" w:history="1">
        <w:r w:rsidRPr="00800CA7">
          <w:rPr>
            <w:rStyle w:val="Hyperlink"/>
            <w:lang w:val="en-AU"/>
          </w:rPr>
          <w:t>https://doi.org/10.1080/00220270050167189</w:t>
        </w:r>
      </w:hyperlink>
    </w:p>
    <w:p w14:paraId="0ADF6CEB" w14:textId="77777777" w:rsidR="00934128" w:rsidRPr="00045A54" w:rsidRDefault="00934128" w:rsidP="004566DE">
      <w:pPr>
        <w:pStyle w:val="TMEReferencelist"/>
      </w:pPr>
      <w:r w:rsidRPr="00045A54">
        <w:t>Battey, D., &amp; Leyva, L. A. (2016). A framework for understanding whiteness in mathematics education. </w:t>
      </w:r>
      <w:r w:rsidRPr="004566DE">
        <w:rPr>
          <w:i/>
          <w:iCs/>
        </w:rPr>
        <w:t>Journal of Urban Mathematics Education, 9</w:t>
      </w:r>
      <w:r w:rsidRPr="00045A54">
        <w:t>(2).</w:t>
      </w:r>
      <w:r>
        <w:t xml:space="preserve"> </w:t>
      </w:r>
      <w:hyperlink r:id="rId13" w:history="1">
        <w:r w:rsidRPr="002C4DA4">
          <w:rPr>
            <w:rStyle w:val="Hyperlink"/>
          </w:rPr>
          <w:t>https://doi.org/10.21423/jume-v9i2a294</w:t>
        </w:r>
      </w:hyperlink>
    </w:p>
    <w:p w14:paraId="38622BF1" w14:textId="77777777" w:rsidR="00934128" w:rsidRPr="00045A54" w:rsidRDefault="00934128" w:rsidP="00045A54">
      <w:pPr>
        <w:pStyle w:val="TMEReferencelist"/>
      </w:pPr>
      <w:proofErr w:type="spellStart"/>
      <w:r w:rsidRPr="005949E3">
        <w:rPr>
          <w:lang w:val="en-AU"/>
        </w:rPr>
        <w:t>Bezuk</w:t>
      </w:r>
      <w:proofErr w:type="spellEnd"/>
      <w:r w:rsidRPr="005949E3">
        <w:rPr>
          <w:lang w:val="en-AU"/>
        </w:rPr>
        <w:t xml:space="preserve">, N., Bay-Williams, J., Clements, D. H., Martin, W. G., Aguirre, J., </w:t>
      </w:r>
      <w:proofErr w:type="spellStart"/>
      <w:r w:rsidRPr="005949E3">
        <w:rPr>
          <w:lang w:val="en-AU"/>
        </w:rPr>
        <w:t>Boerst</w:t>
      </w:r>
      <w:proofErr w:type="spellEnd"/>
      <w:r w:rsidRPr="005949E3">
        <w:rPr>
          <w:lang w:val="en-AU"/>
        </w:rPr>
        <w:t xml:space="preserve">, T., Burroughs, E. A., Dickey, E., Hughes, E., </w:t>
      </w:r>
      <w:proofErr w:type="spellStart"/>
      <w:r w:rsidRPr="005949E3">
        <w:rPr>
          <w:lang w:val="en-AU"/>
        </w:rPr>
        <w:t>Huinker</w:t>
      </w:r>
      <w:proofErr w:type="spellEnd"/>
      <w:r w:rsidRPr="005949E3">
        <w:rPr>
          <w:lang w:val="en-AU"/>
        </w:rPr>
        <w:t xml:space="preserve">, D., Gutierrez, R., Karp, K., Lewis, J., Olson, T. A., Philipp, R., </w:t>
      </w:r>
      <w:proofErr w:type="spellStart"/>
      <w:r w:rsidRPr="005949E3">
        <w:rPr>
          <w:lang w:val="en-AU"/>
        </w:rPr>
        <w:t>Rigelmann</w:t>
      </w:r>
      <w:proofErr w:type="spellEnd"/>
      <w:r w:rsidRPr="005949E3">
        <w:rPr>
          <w:lang w:val="en-AU"/>
        </w:rPr>
        <w:t xml:space="preserve">, N., </w:t>
      </w:r>
      <w:proofErr w:type="spellStart"/>
      <w:r w:rsidRPr="005949E3">
        <w:rPr>
          <w:lang w:val="en-AU"/>
        </w:rPr>
        <w:t>Strutchens</w:t>
      </w:r>
      <w:proofErr w:type="spellEnd"/>
      <w:r w:rsidRPr="005949E3">
        <w:rPr>
          <w:lang w:val="en-AU"/>
        </w:rPr>
        <w:t>, M. E., White, D. Y., Thomas, C. D. (2017). AMTE Standards for Mathematics Teacher Preparation. </w:t>
      </w:r>
      <w:r w:rsidRPr="005949E3">
        <w:rPr>
          <w:i/>
          <w:iCs/>
          <w:lang w:val="en-AU"/>
        </w:rPr>
        <w:t>Association of Mathematics Teacher Educators</w:t>
      </w:r>
      <w:r w:rsidRPr="005949E3">
        <w:rPr>
          <w:lang w:val="en-AU"/>
        </w:rPr>
        <w:t>.</w:t>
      </w:r>
    </w:p>
    <w:p w14:paraId="293C9BB6" w14:textId="77777777" w:rsidR="00934128" w:rsidRPr="00045A54" w:rsidRDefault="00934128" w:rsidP="00045A54">
      <w:pPr>
        <w:pStyle w:val="TMEReferencelist"/>
      </w:pPr>
      <w:proofErr w:type="spellStart"/>
      <w:r w:rsidRPr="00045A54">
        <w:t>Boser</w:t>
      </w:r>
      <w:proofErr w:type="spellEnd"/>
      <w:r w:rsidRPr="00045A54">
        <w:t xml:space="preserve">, U. (2014). Teacher </w:t>
      </w:r>
      <w:r>
        <w:t>d</w:t>
      </w:r>
      <w:r w:rsidRPr="00045A54">
        <w:t xml:space="preserve">iversity </w:t>
      </w:r>
      <w:r>
        <w:t>r</w:t>
      </w:r>
      <w:r w:rsidRPr="00045A54">
        <w:t xml:space="preserve">evisited: A </w:t>
      </w:r>
      <w:r>
        <w:t>n</w:t>
      </w:r>
      <w:r w:rsidRPr="00045A54">
        <w:t xml:space="preserve">ew </w:t>
      </w:r>
      <w:r>
        <w:t>s</w:t>
      </w:r>
      <w:r w:rsidRPr="00045A54">
        <w:t>tate-by-</w:t>
      </w:r>
      <w:r>
        <w:t>s</w:t>
      </w:r>
      <w:r w:rsidRPr="00045A54">
        <w:t xml:space="preserve">tate </w:t>
      </w:r>
      <w:r>
        <w:t>a</w:t>
      </w:r>
      <w:r w:rsidRPr="00045A54">
        <w:t>nalysis. </w:t>
      </w:r>
      <w:r w:rsidRPr="00544A79">
        <w:rPr>
          <w:i/>
          <w:iCs/>
        </w:rPr>
        <w:t>Center for American Progress</w:t>
      </w:r>
      <w:r w:rsidRPr="00045A54">
        <w:t>.</w:t>
      </w:r>
      <w:r>
        <w:t xml:space="preserve"> </w:t>
      </w:r>
    </w:p>
    <w:p w14:paraId="152E62D2" w14:textId="77777777" w:rsidR="00934128" w:rsidRPr="00045A54" w:rsidRDefault="00934128" w:rsidP="001710B0">
      <w:pPr>
        <w:pStyle w:val="TMEReferencelist"/>
      </w:pPr>
      <w:r w:rsidRPr="00045A54">
        <w:t>Boysen, G. A. (2012). Teacher and student perceptions of microaggressions in college classrooms. </w:t>
      </w:r>
      <w:r w:rsidRPr="001710B0">
        <w:rPr>
          <w:i/>
          <w:iCs/>
        </w:rPr>
        <w:t>College Teaching, 60</w:t>
      </w:r>
      <w:r w:rsidRPr="00045A54">
        <w:t>(3), 122-129.</w:t>
      </w:r>
      <w:r>
        <w:t xml:space="preserve"> </w:t>
      </w:r>
      <w:hyperlink r:id="rId14" w:history="1">
        <w:r w:rsidRPr="002C4DA4">
          <w:rPr>
            <w:rStyle w:val="Hyperlink"/>
          </w:rPr>
          <w:t>http://www.jstor.org/stable/23240292</w:t>
        </w:r>
      </w:hyperlink>
    </w:p>
    <w:p w14:paraId="2F91D3A1" w14:textId="77777777" w:rsidR="00934128" w:rsidRPr="00045A54" w:rsidRDefault="00934128" w:rsidP="000A47B9">
      <w:pPr>
        <w:pStyle w:val="TMEReferencelist"/>
      </w:pPr>
      <w:proofErr w:type="spellStart"/>
      <w:r w:rsidRPr="00045A54">
        <w:t>Bruschke</w:t>
      </w:r>
      <w:proofErr w:type="spellEnd"/>
      <w:r w:rsidRPr="00045A54">
        <w:t xml:space="preserve">, J. C., Gartner, C., &amp; Seiter, J. S. (1993). Student ethnocentrism, dogmatism, and motivation: A study of BAFA </w:t>
      </w:r>
      <w:proofErr w:type="spellStart"/>
      <w:r w:rsidRPr="00045A54">
        <w:t>BAFA</w:t>
      </w:r>
      <w:proofErr w:type="spellEnd"/>
      <w:r w:rsidRPr="00045A54">
        <w:t>. </w:t>
      </w:r>
      <w:r w:rsidRPr="001710B0">
        <w:rPr>
          <w:i/>
          <w:iCs/>
        </w:rPr>
        <w:t>Simulation &amp; gaming</w:t>
      </w:r>
      <w:r w:rsidRPr="00045A54">
        <w:t>, 24(1), 9-20.</w:t>
      </w:r>
      <w:r>
        <w:t xml:space="preserve"> </w:t>
      </w:r>
      <w:hyperlink r:id="rId15" w:history="1">
        <w:r w:rsidRPr="002C4DA4">
          <w:rPr>
            <w:rStyle w:val="Hyperlink"/>
          </w:rPr>
          <w:t>https://doi.org/10.1177/1046878193241003</w:t>
        </w:r>
      </w:hyperlink>
    </w:p>
    <w:p w14:paraId="087089F4" w14:textId="77777777" w:rsidR="00934128" w:rsidRPr="00045A54" w:rsidRDefault="00934128" w:rsidP="0032798E">
      <w:pPr>
        <w:pStyle w:val="TMEReferencelist"/>
      </w:pPr>
      <w:r w:rsidRPr="00045A54">
        <w:t xml:space="preserve">Chae, D. H., Clouston, S., </w:t>
      </w:r>
      <w:proofErr w:type="spellStart"/>
      <w:r w:rsidRPr="00045A54">
        <w:t>Hatzenbuehler</w:t>
      </w:r>
      <w:proofErr w:type="spellEnd"/>
      <w:r w:rsidRPr="00045A54">
        <w:t xml:space="preserve">, M. L., Kramer, M. R., Cooper, H. L., Wilson, S. M., </w:t>
      </w:r>
      <w:r>
        <w:t>Stephens-</w:t>
      </w:r>
      <w:proofErr w:type="spellStart"/>
      <w:r>
        <w:t>Davidowitz</w:t>
      </w:r>
      <w:proofErr w:type="spellEnd"/>
      <w:r>
        <w:t>, S. I., Gold, R. S.,</w:t>
      </w:r>
      <w:r w:rsidRPr="00045A54">
        <w:t xml:space="preserve"> &amp; Link, B. G. (2015). Association between an internet-based measure of area racism and black mortality. </w:t>
      </w:r>
      <w:proofErr w:type="spellStart"/>
      <w:r w:rsidRPr="00AB701E">
        <w:rPr>
          <w:i/>
          <w:iCs/>
        </w:rPr>
        <w:t>PloS</w:t>
      </w:r>
      <w:proofErr w:type="spellEnd"/>
      <w:r w:rsidRPr="00AB701E">
        <w:rPr>
          <w:i/>
          <w:iCs/>
        </w:rPr>
        <w:t xml:space="preserve"> one, 10</w:t>
      </w:r>
      <w:r w:rsidRPr="00045A54">
        <w:t>(4), e0122963.</w:t>
      </w:r>
      <w:r>
        <w:t xml:space="preserve"> </w:t>
      </w:r>
      <w:hyperlink r:id="rId16" w:history="1">
        <w:r w:rsidRPr="002C4DA4">
          <w:rPr>
            <w:rStyle w:val="Hyperlink"/>
          </w:rPr>
          <w:t>https://doi.org/10.1371/journal.pone.0122963</w:t>
        </w:r>
      </w:hyperlink>
    </w:p>
    <w:p w14:paraId="60690D89" w14:textId="77777777" w:rsidR="00934128" w:rsidRPr="001D36CE" w:rsidRDefault="00934128" w:rsidP="001D36CE">
      <w:pPr>
        <w:pStyle w:val="TMEReferencelist"/>
      </w:pPr>
      <w:r w:rsidRPr="001D36CE">
        <w:lastRenderedPageBreak/>
        <w:t>Civil, M. (2007). Building on community knowledge: An avenue to equity in mathematics education. In N. Nassir &amp; P. Cobb (Eds.), </w:t>
      </w:r>
      <w:r w:rsidRPr="001D36CE">
        <w:rPr>
          <w:i/>
          <w:iCs/>
        </w:rPr>
        <w:t>Improving access to mathematics: Diversity and equity in the classroom.</w:t>
      </w:r>
      <w:r w:rsidRPr="001D36CE">
        <w:t> (pp. 105-117). Teachers College Press.</w:t>
      </w:r>
    </w:p>
    <w:p w14:paraId="39392DF1" w14:textId="77777777" w:rsidR="00934128" w:rsidRPr="00045A54" w:rsidRDefault="00934128" w:rsidP="00134E87">
      <w:pPr>
        <w:pStyle w:val="TMEReferencelist"/>
      </w:pPr>
      <w:proofErr w:type="spellStart"/>
      <w:r w:rsidRPr="00045A54">
        <w:t>d’Entremont</w:t>
      </w:r>
      <w:proofErr w:type="spellEnd"/>
      <w:r w:rsidRPr="00045A54">
        <w:t xml:space="preserve">, Y. (2015). Linking mathematics, culture and community. </w:t>
      </w:r>
      <w:r w:rsidRPr="00134E87">
        <w:rPr>
          <w:i/>
          <w:iCs/>
        </w:rPr>
        <w:t>Procedia: Social and Behavioral Sciences</w:t>
      </w:r>
      <w:r w:rsidRPr="00045A54">
        <w:t>, 174, 2818–2824.</w:t>
      </w:r>
      <w:r>
        <w:t xml:space="preserve"> </w:t>
      </w:r>
      <w:hyperlink r:id="rId17" w:history="1">
        <w:r w:rsidRPr="002C4DA4">
          <w:rPr>
            <w:rStyle w:val="Hyperlink"/>
          </w:rPr>
          <w:t>http://dx.doi.org/10.1016/j.sbspro.2015.01.973</w:t>
        </w:r>
      </w:hyperlink>
    </w:p>
    <w:p w14:paraId="61A442FA" w14:textId="77777777" w:rsidR="00934128" w:rsidRPr="00045A54" w:rsidRDefault="00934128" w:rsidP="00045A54">
      <w:pPr>
        <w:pStyle w:val="TMEReferencelist"/>
      </w:pPr>
      <w:r w:rsidRPr="00045A54">
        <w:t xml:space="preserve">Dibbs, R. A., </w:t>
      </w:r>
      <w:proofErr w:type="spellStart"/>
      <w:r w:rsidRPr="00045A54">
        <w:t>Beene</w:t>
      </w:r>
      <w:proofErr w:type="spellEnd"/>
      <w:r w:rsidRPr="00045A54">
        <w:t xml:space="preserve">, L., &amp; Lewis, K. (2019). Using </w:t>
      </w:r>
      <w:proofErr w:type="spellStart"/>
      <w:r w:rsidRPr="00045A54">
        <w:t>Classchatter</w:t>
      </w:r>
      <w:proofErr w:type="spellEnd"/>
      <w:r w:rsidRPr="00045A54">
        <w:t xml:space="preserve"> to mediate controversial discussions in small teacher preparation programs: A case study. </w:t>
      </w:r>
      <w:r w:rsidRPr="00B707B7">
        <w:rPr>
          <w:i/>
          <w:iCs/>
        </w:rPr>
        <w:t>Teaching for Equity and Excellence in Mathematics</w:t>
      </w:r>
      <w:r>
        <w:t xml:space="preserve">, </w:t>
      </w:r>
      <w:r w:rsidRPr="00CA60F3">
        <w:rPr>
          <w:i/>
          <w:iCs/>
        </w:rPr>
        <w:t>10</w:t>
      </w:r>
      <w:r>
        <w:t>(1), 26-36.</w:t>
      </w:r>
    </w:p>
    <w:p w14:paraId="75AA5525" w14:textId="77777777" w:rsidR="00934128" w:rsidRPr="00045A54" w:rsidRDefault="00934128" w:rsidP="007C4F3C">
      <w:pPr>
        <w:pStyle w:val="TMEReferencelist"/>
      </w:pPr>
      <w:r w:rsidRPr="00045A54">
        <w:t>Donley, J. (2018, April). Multicultural experiential learning: An approach to learning, developing, and maintaining multicultural skills. In </w:t>
      </w:r>
      <w:r w:rsidRPr="00B707B7">
        <w:rPr>
          <w:i/>
          <w:iCs/>
        </w:rPr>
        <w:t>Voices: A World Forum for Music Therapy</w:t>
      </w:r>
      <w:r>
        <w:t xml:space="preserve">, </w:t>
      </w:r>
      <w:r w:rsidRPr="004C4828">
        <w:rPr>
          <w:i/>
          <w:iCs/>
        </w:rPr>
        <w:t>18</w:t>
      </w:r>
      <w:r>
        <w:t xml:space="preserve">(2), 1-14. </w:t>
      </w:r>
      <w:hyperlink r:id="rId18" w:history="1">
        <w:r w:rsidRPr="002C4DA4">
          <w:rPr>
            <w:rStyle w:val="Hyperlink"/>
          </w:rPr>
          <w:t>https://doi.org/10.15845/voices.v18i2.985</w:t>
        </w:r>
      </w:hyperlink>
    </w:p>
    <w:p w14:paraId="229174F6" w14:textId="77777777" w:rsidR="00934128" w:rsidRDefault="00934128" w:rsidP="00045A54">
      <w:pPr>
        <w:pStyle w:val="TMEReferencelist"/>
        <w:rPr>
          <w:lang w:val="en-AU"/>
        </w:rPr>
      </w:pPr>
      <w:r w:rsidRPr="002142F9">
        <w:rPr>
          <w:lang w:val="en-AU"/>
        </w:rPr>
        <w:t>Donley, J. (2020, February). Multicultural experiential learning in music therapy supervision. In </w:t>
      </w:r>
      <w:r w:rsidRPr="002142F9">
        <w:rPr>
          <w:i/>
          <w:iCs/>
          <w:lang w:val="en-AU"/>
        </w:rPr>
        <w:t>Voices: A World Forum for Music Therap</w:t>
      </w:r>
      <w:r>
        <w:rPr>
          <w:i/>
          <w:iCs/>
          <w:lang w:val="en-AU"/>
        </w:rPr>
        <w:t>y, 20</w:t>
      </w:r>
      <w:r>
        <w:rPr>
          <w:lang w:val="en-AU"/>
        </w:rPr>
        <w:t xml:space="preserve">(1), </w:t>
      </w:r>
      <w:hyperlink r:id="rId19" w:history="1">
        <w:r w:rsidRPr="00800CA7">
          <w:rPr>
            <w:rStyle w:val="Hyperlink"/>
            <w:lang w:val="en-AU"/>
          </w:rPr>
          <w:t>https://doi.org/10.15845/voices.v20i1.2797</w:t>
        </w:r>
      </w:hyperlink>
    </w:p>
    <w:p w14:paraId="4140D968" w14:textId="77777777" w:rsidR="00934128" w:rsidRPr="00045A54" w:rsidRDefault="00934128" w:rsidP="00875629">
      <w:pPr>
        <w:pStyle w:val="TMEReferencelist"/>
      </w:pPr>
      <w:r w:rsidRPr="00045A54">
        <w:t xml:space="preserve">Dukes, R. L., Fowler, S. M., &amp; </w:t>
      </w:r>
      <w:proofErr w:type="spellStart"/>
      <w:r w:rsidRPr="00045A54">
        <w:t>DeKoven</w:t>
      </w:r>
      <w:proofErr w:type="spellEnd"/>
      <w:r w:rsidRPr="00045A54">
        <w:t xml:space="preserve">, B. (2011). </w:t>
      </w:r>
      <w:r w:rsidRPr="00875629">
        <w:t>R. Garry shirts: Simulation gaming exemplar</w:t>
      </w:r>
      <w:r w:rsidRPr="00045A54">
        <w:t>. </w:t>
      </w:r>
      <w:r w:rsidRPr="00875629">
        <w:rPr>
          <w:i/>
          <w:iCs/>
        </w:rPr>
        <w:t>Simulation &amp; Gaming, 42</w:t>
      </w:r>
      <w:r w:rsidRPr="00045A54">
        <w:t>(5), 545-570.</w:t>
      </w:r>
      <w:r>
        <w:t xml:space="preserve"> </w:t>
      </w:r>
      <w:hyperlink r:id="rId20" w:history="1">
        <w:r w:rsidRPr="002C4DA4">
          <w:rPr>
            <w:rStyle w:val="Hyperlink"/>
          </w:rPr>
          <w:t>https://doi.org/10.1177/1046878111424335</w:t>
        </w:r>
      </w:hyperlink>
    </w:p>
    <w:p w14:paraId="6FE15507" w14:textId="77777777" w:rsidR="00934128" w:rsidRPr="00045A54" w:rsidRDefault="00934128" w:rsidP="005524D8">
      <w:pPr>
        <w:pStyle w:val="TMEReferencelist"/>
      </w:pPr>
      <w:r w:rsidRPr="00045A54">
        <w:t>Gutiérrez, R. (1996). Practices, beliefs and cultures of high school mathematics departments: Understanding their influence on student advancement. </w:t>
      </w:r>
      <w:r w:rsidRPr="00BE5C2B">
        <w:rPr>
          <w:i/>
          <w:iCs/>
        </w:rPr>
        <w:t>Journal of Curriculum Studies, 28</w:t>
      </w:r>
      <w:r w:rsidRPr="00045A54">
        <w:t>(5), 495-529.</w:t>
      </w:r>
      <w:r>
        <w:t xml:space="preserve"> </w:t>
      </w:r>
      <w:hyperlink r:id="rId21" w:history="1">
        <w:r w:rsidRPr="002C4DA4">
          <w:rPr>
            <w:rStyle w:val="Hyperlink"/>
          </w:rPr>
          <w:t>https://doi.org/10.1080/0022027980280501</w:t>
        </w:r>
      </w:hyperlink>
    </w:p>
    <w:p w14:paraId="3287DD1D" w14:textId="77777777" w:rsidR="00934128" w:rsidRPr="00045A54" w:rsidRDefault="00934128" w:rsidP="00045A54">
      <w:pPr>
        <w:pStyle w:val="TMEReferencelist"/>
      </w:pPr>
      <w:r w:rsidRPr="00045A54">
        <w:t>Gutiérrez, R. (2009). Embracing the inherent tensions in teaching mathematics from an equity stance. </w:t>
      </w:r>
      <w:r w:rsidRPr="00D82132">
        <w:rPr>
          <w:i/>
          <w:iCs/>
        </w:rPr>
        <w:t>Democracy &amp; Education, 18</w:t>
      </w:r>
      <w:r w:rsidRPr="00045A54">
        <w:t>(3), 9-16.</w:t>
      </w:r>
    </w:p>
    <w:p w14:paraId="213A66D9" w14:textId="77777777" w:rsidR="00934128" w:rsidRPr="00045A54" w:rsidRDefault="00934128" w:rsidP="00EA396B">
      <w:pPr>
        <w:pStyle w:val="TMEReferencelist"/>
      </w:pPr>
      <w:r w:rsidRPr="00045A54">
        <w:t xml:space="preserve">Gutiérrez, R. (2015). Nesting in </w:t>
      </w:r>
      <w:proofErr w:type="spellStart"/>
      <w:r w:rsidRPr="00045A54">
        <w:t>Nepantla</w:t>
      </w:r>
      <w:proofErr w:type="spellEnd"/>
      <w:r w:rsidRPr="00045A54">
        <w:t>: The importance of maintaining tensions in our work. </w:t>
      </w:r>
      <w:r>
        <w:t xml:space="preserve">In N. M. Joseph, C. Haynes, &amp; F. Cobb (Eds.). </w:t>
      </w:r>
      <w:r w:rsidRPr="00D82132">
        <w:rPr>
          <w:i/>
          <w:iCs/>
        </w:rPr>
        <w:t>Interrogating Whiteness and relinquishing power: White faculty’s commitment to racial consciousness in STEM classrooms</w:t>
      </w:r>
      <w:r>
        <w:t>.</w:t>
      </w:r>
      <w:r w:rsidRPr="00045A54">
        <w:t xml:space="preserve"> </w:t>
      </w:r>
      <w:r>
        <w:t xml:space="preserve">(pp. </w:t>
      </w:r>
      <w:r w:rsidRPr="00045A54">
        <w:t>253-282</w:t>
      </w:r>
      <w:r>
        <w:t>)</w:t>
      </w:r>
      <w:r w:rsidRPr="00045A54">
        <w:t>.</w:t>
      </w:r>
      <w:r>
        <w:t xml:space="preserve"> Peter Lang. </w:t>
      </w:r>
      <w:hyperlink r:id="rId22" w:history="1">
        <w:r w:rsidRPr="002C4DA4">
          <w:rPr>
            <w:rStyle w:val="Hyperlink"/>
          </w:rPr>
          <w:t>https://doi.org/10.3726/978-1-4539-1716-9</w:t>
        </w:r>
      </w:hyperlink>
    </w:p>
    <w:p w14:paraId="588846FB" w14:textId="77777777" w:rsidR="00934128" w:rsidRPr="00045A54" w:rsidRDefault="00934128" w:rsidP="00EA396B">
      <w:pPr>
        <w:pStyle w:val="TMEReferencelist"/>
      </w:pPr>
      <w:r w:rsidRPr="00045A54">
        <w:t>Hehir, M. (2017). Non-</w:t>
      </w:r>
      <w:r>
        <w:t>t</w:t>
      </w:r>
      <w:r w:rsidRPr="00045A54">
        <w:t xml:space="preserve">raditional Rutgers </w:t>
      </w:r>
      <w:r>
        <w:t>s</w:t>
      </w:r>
      <w:r w:rsidRPr="00045A54">
        <w:t xml:space="preserve">tudents: Providing </w:t>
      </w:r>
      <w:r>
        <w:t>r</w:t>
      </w:r>
      <w:r w:rsidRPr="00045A54">
        <w:t xml:space="preserve">esources for </w:t>
      </w:r>
      <w:r>
        <w:t>s</w:t>
      </w:r>
      <w:r w:rsidRPr="00045A54">
        <w:t>elf-</w:t>
      </w:r>
      <w:r>
        <w:t>c</w:t>
      </w:r>
      <w:r w:rsidRPr="00045A54">
        <w:t xml:space="preserve">are and </w:t>
      </w:r>
      <w:r>
        <w:t>s</w:t>
      </w:r>
      <w:r w:rsidRPr="00045A54">
        <w:t>uccess</w:t>
      </w:r>
      <w:r>
        <w:t xml:space="preserve"> [PowerPoint slides]</w:t>
      </w:r>
      <w:r w:rsidRPr="00045A54">
        <w:t>.</w:t>
      </w:r>
      <w:r>
        <w:t xml:space="preserve"> Rutgers University. </w:t>
      </w:r>
      <w:hyperlink r:id="rId23" w:history="1">
        <w:r w:rsidRPr="002C4DA4">
          <w:rPr>
            <w:rStyle w:val="Hyperlink"/>
          </w:rPr>
          <w:t>https://iwl.rutgers.edu/wp-content/uploads/2018/09/SAP-Presentation-Hehir.pdf</w:t>
        </w:r>
      </w:hyperlink>
    </w:p>
    <w:p w14:paraId="7F17F534" w14:textId="77777777" w:rsidR="00934128" w:rsidRPr="00462697" w:rsidRDefault="00934128" w:rsidP="00462697">
      <w:pPr>
        <w:pStyle w:val="TMEReferencelist"/>
        <w:rPr>
          <w:lang w:val="en-AU"/>
        </w:rPr>
      </w:pPr>
      <w:r w:rsidRPr="00045A54">
        <w:t xml:space="preserve">Jarrell, K., Alpers, R., Brown, G., &amp; </w:t>
      </w:r>
      <w:proofErr w:type="spellStart"/>
      <w:r w:rsidRPr="00045A54">
        <w:t>Wotring</w:t>
      </w:r>
      <w:proofErr w:type="spellEnd"/>
      <w:r w:rsidRPr="00045A54">
        <w:t xml:space="preserve">, R. (2008). Using </w:t>
      </w:r>
      <w:proofErr w:type="spellStart"/>
      <w:r w:rsidRPr="00045A54">
        <w:t>BaFa</w:t>
      </w:r>
      <w:proofErr w:type="spellEnd"/>
      <w:r w:rsidRPr="00045A54">
        <w:t xml:space="preserve">' </w:t>
      </w:r>
      <w:proofErr w:type="spellStart"/>
      <w:r w:rsidRPr="00045A54">
        <w:t>BaFa</w:t>
      </w:r>
      <w:proofErr w:type="spellEnd"/>
      <w:r w:rsidRPr="00045A54">
        <w:t>' in evaluating cultural competence of nursing students. </w:t>
      </w:r>
      <w:r w:rsidRPr="00462697">
        <w:rPr>
          <w:i/>
          <w:iCs/>
        </w:rPr>
        <w:t>Teaching and Learning in Nursing, 3</w:t>
      </w:r>
      <w:r w:rsidRPr="00045A54">
        <w:t>(4), 141-142.</w:t>
      </w:r>
    </w:p>
    <w:p w14:paraId="5526CCEB" w14:textId="77777777" w:rsidR="00934128" w:rsidRDefault="00934128" w:rsidP="0013723E">
      <w:pPr>
        <w:pStyle w:val="TMEReferencelist"/>
        <w:rPr>
          <w:lang w:val="en-AU"/>
        </w:rPr>
      </w:pPr>
      <w:r w:rsidRPr="00934128">
        <w:rPr>
          <w:lang w:val="en-AU"/>
        </w:rPr>
        <w:t xml:space="preserve">Jenks, C., Lee, J.O. &amp; </w:t>
      </w:r>
      <w:proofErr w:type="spellStart"/>
      <w:r w:rsidRPr="00934128">
        <w:rPr>
          <w:lang w:val="en-AU"/>
        </w:rPr>
        <w:t>Kanpol</w:t>
      </w:r>
      <w:proofErr w:type="spellEnd"/>
      <w:r w:rsidRPr="00934128">
        <w:rPr>
          <w:lang w:val="en-AU"/>
        </w:rPr>
        <w:t>, B.</w:t>
      </w:r>
      <w:r>
        <w:rPr>
          <w:lang w:val="en-AU"/>
        </w:rPr>
        <w:t xml:space="preserve"> (2001)</w:t>
      </w:r>
      <w:r w:rsidRPr="00934128">
        <w:rPr>
          <w:lang w:val="en-AU"/>
        </w:rPr>
        <w:t xml:space="preserve"> Approaches to Multicultural Education in Preservice Teacher Education: Philosophical Frameworks </w:t>
      </w:r>
      <w:r w:rsidRPr="00934128">
        <w:rPr>
          <w:lang w:val="en-AU"/>
        </w:rPr>
        <w:lastRenderedPageBreak/>
        <w:t>and Models for Teaching. </w:t>
      </w:r>
      <w:r w:rsidRPr="00934128">
        <w:rPr>
          <w:i/>
          <w:iCs/>
          <w:lang w:val="en-AU"/>
        </w:rPr>
        <w:t>The Urban Review</w:t>
      </w:r>
      <w:r>
        <w:rPr>
          <w:i/>
          <w:iCs/>
          <w:lang w:val="en-AU"/>
        </w:rPr>
        <w:t>,</w:t>
      </w:r>
      <w:r w:rsidRPr="00934128">
        <w:rPr>
          <w:lang w:val="en-AU"/>
        </w:rPr>
        <w:t> </w:t>
      </w:r>
      <w:r w:rsidRPr="00934128">
        <w:rPr>
          <w:i/>
          <w:iCs/>
          <w:lang w:val="en-AU"/>
        </w:rPr>
        <w:t>33</w:t>
      </w:r>
      <w:r w:rsidRPr="00934128">
        <w:rPr>
          <w:lang w:val="en-AU"/>
        </w:rPr>
        <w:t>, 87</w:t>
      </w:r>
      <w:bookmarkStart w:id="1" w:name="_Hlk138678703"/>
      <w:r w:rsidRPr="00934128">
        <w:rPr>
          <w:lang w:val="en-AU"/>
        </w:rPr>
        <w:t>–</w:t>
      </w:r>
      <w:bookmarkEnd w:id="1"/>
      <w:r w:rsidRPr="00934128">
        <w:rPr>
          <w:lang w:val="en-AU"/>
        </w:rPr>
        <w:t xml:space="preserve">105. </w:t>
      </w:r>
      <w:hyperlink r:id="rId24" w:history="1">
        <w:r w:rsidRPr="00800CA7">
          <w:rPr>
            <w:rStyle w:val="Hyperlink"/>
            <w:lang w:val="en-AU"/>
          </w:rPr>
          <w:t>https://doi.org/10.1023/A:1010389023211</w:t>
        </w:r>
      </w:hyperlink>
    </w:p>
    <w:p w14:paraId="4C90251E" w14:textId="77777777" w:rsidR="00934128" w:rsidRPr="00045A54" w:rsidRDefault="00934128" w:rsidP="0051168C">
      <w:pPr>
        <w:pStyle w:val="TMEReferencelist"/>
      </w:pPr>
      <w:proofErr w:type="spellStart"/>
      <w:r w:rsidRPr="00045A54">
        <w:t>Krummel</w:t>
      </w:r>
      <w:proofErr w:type="spellEnd"/>
      <w:r w:rsidRPr="00045A54">
        <w:t xml:space="preserve">, A. (2013). Multicultural teaching models to educate pre-service teachers: Reflections, service-learning, and mentoring. </w:t>
      </w:r>
      <w:r w:rsidRPr="00784066">
        <w:rPr>
          <w:i/>
          <w:iCs/>
        </w:rPr>
        <w:t>Current Issues in Education, 16</w:t>
      </w:r>
      <w:r w:rsidRPr="00045A54">
        <w:t>(1), 1-6.</w:t>
      </w:r>
      <w:r>
        <w:t xml:space="preserve"> </w:t>
      </w:r>
      <w:r w:rsidRPr="0051168C">
        <w:t xml:space="preserve">Retrieved from </w:t>
      </w:r>
      <w:hyperlink r:id="rId25" w:history="1">
        <w:r w:rsidRPr="002C4DA4">
          <w:rPr>
            <w:rStyle w:val="Hyperlink"/>
          </w:rPr>
          <w:t>https://cie.asu.edu/ojs/index.php/cieatasu/article/view/1059</w:t>
        </w:r>
      </w:hyperlink>
    </w:p>
    <w:p w14:paraId="50ECD041" w14:textId="77777777" w:rsidR="00934128" w:rsidRDefault="00934128" w:rsidP="00045A54">
      <w:pPr>
        <w:pStyle w:val="TMEReferencelist"/>
      </w:pPr>
      <w:r w:rsidRPr="00045A54">
        <w:t xml:space="preserve">Ladson-Billings, G. (2000). Fighting for our lives: Preparing teachers to teach African American students. </w:t>
      </w:r>
      <w:r w:rsidRPr="008E128F">
        <w:rPr>
          <w:i/>
          <w:iCs/>
        </w:rPr>
        <w:t>Journal of Teacher Education, 51</w:t>
      </w:r>
      <w:r w:rsidRPr="00045A54">
        <w:t>(3), 206–214.</w:t>
      </w:r>
      <w:r>
        <w:t xml:space="preserve"> </w:t>
      </w:r>
      <w:hyperlink r:id="rId26" w:history="1">
        <w:r w:rsidRPr="008E128F">
          <w:rPr>
            <w:rStyle w:val="Hyperlink"/>
          </w:rPr>
          <w:t>http://dx.doi.org/10.1177/0022487100051003008</w:t>
        </w:r>
      </w:hyperlink>
    </w:p>
    <w:p w14:paraId="27FE3E15" w14:textId="77777777" w:rsidR="00934128" w:rsidRDefault="00934128" w:rsidP="0013723E">
      <w:pPr>
        <w:pStyle w:val="TMEReferencelist"/>
        <w:rPr>
          <w:lang w:val="en-AU"/>
        </w:rPr>
      </w:pPr>
      <w:r w:rsidRPr="001A612B">
        <w:rPr>
          <w:lang w:val="en-AU"/>
        </w:rPr>
        <w:t>Langer-Osuna, J. &amp; Engle, R. (2010). 'I study features; believe me, I should know!': The mediational role of distributed expertise in the development of student authority. In Gomez, K., Lyons, L., &amp; Radinsky, J. (Eds.), Learning in the Disciplines: Proceedings of the 9th International Conference of the Learning Sciences (ICLS 2010) - Volume 1, Full Papers (pp. 612</w:t>
      </w:r>
      <w:r w:rsidRPr="00934128">
        <w:rPr>
          <w:lang w:val="en-AU"/>
        </w:rPr>
        <w:t>–</w:t>
      </w:r>
      <w:r w:rsidRPr="001A612B">
        <w:rPr>
          <w:lang w:val="en-AU"/>
        </w:rPr>
        <w:t>619). Chicago IL: International Society of the Learning Sciences.</w:t>
      </w:r>
      <w:r>
        <w:rPr>
          <w:lang w:val="en-AU"/>
        </w:rPr>
        <w:t xml:space="preserve"> </w:t>
      </w:r>
      <w:hyperlink r:id="rId27" w:history="1">
        <w:r w:rsidRPr="00800CA7">
          <w:rPr>
            <w:rStyle w:val="Hyperlink"/>
            <w:lang w:val="en-AU"/>
          </w:rPr>
          <w:t>https://doi.dx.org/10.22318/icls2010.1.612</w:t>
        </w:r>
      </w:hyperlink>
    </w:p>
    <w:p w14:paraId="5FA077C1" w14:textId="77777777" w:rsidR="00934128" w:rsidRPr="00045A54" w:rsidRDefault="00934128" w:rsidP="00CB03FD">
      <w:pPr>
        <w:pStyle w:val="TMEReferencelist"/>
      </w:pPr>
      <w:r w:rsidRPr="00045A54">
        <w:t>Leonardo, Z. (2004). The color of supremacy: Beyond the discourse of ‘white privilege’. </w:t>
      </w:r>
      <w:r w:rsidRPr="000D0136">
        <w:rPr>
          <w:i/>
          <w:iCs/>
        </w:rPr>
        <w:t>Educational Philosophy and Theory, 36</w:t>
      </w:r>
      <w:r w:rsidRPr="00045A54">
        <w:t>(2), 137-152.</w:t>
      </w:r>
      <w:r>
        <w:t xml:space="preserve"> </w:t>
      </w:r>
      <w:hyperlink r:id="rId28" w:history="1">
        <w:r w:rsidRPr="002C4DA4">
          <w:rPr>
            <w:rStyle w:val="Hyperlink"/>
          </w:rPr>
          <w:t>https://doi.org/10.1111/j.1469-5812.2004.00057.x</w:t>
        </w:r>
      </w:hyperlink>
    </w:p>
    <w:p w14:paraId="2A1F15EF" w14:textId="77777777" w:rsidR="00934128" w:rsidRPr="00045A54" w:rsidRDefault="00934128" w:rsidP="00045A54">
      <w:pPr>
        <w:pStyle w:val="TMEReferencelist"/>
      </w:pPr>
      <w:r w:rsidRPr="00045A54">
        <w:t xml:space="preserve">Lewis, K. (2016). History of mathematics meets ethnomathematics: Building cultural awareness in pre-service middle school teachers. </w:t>
      </w:r>
      <w:r>
        <w:t>[</w:t>
      </w:r>
      <w:r w:rsidRPr="00045A54">
        <w:t xml:space="preserve">Unpublished </w:t>
      </w:r>
      <w:proofErr w:type="spellStart"/>
      <w:r w:rsidRPr="00045A54">
        <w:t>Masters</w:t>
      </w:r>
      <w:proofErr w:type="spellEnd"/>
      <w:r w:rsidRPr="00045A54">
        <w:t xml:space="preserve"> Thesis</w:t>
      </w:r>
      <w:r>
        <w:t>]</w:t>
      </w:r>
      <w:r w:rsidRPr="00045A54">
        <w:t>, Texas A&amp;M University-Commerce.</w:t>
      </w:r>
    </w:p>
    <w:p w14:paraId="05993E1B" w14:textId="77777777" w:rsidR="00934128" w:rsidRPr="00045A54" w:rsidRDefault="00934128" w:rsidP="0034078E">
      <w:pPr>
        <w:pStyle w:val="TMEReferencelist"/>
      </w:pPr>
      <w:r w:rsidRPr="00045A54">
        <w:t>McGee, E. O., &amp; Martin, D. B. (2011). “You would not believe what I have to go through to prove my intellectual value!” Stereotype management among academically successful Black mathematics and engineering students. </w:t>
      </w:r>
      <w:r w:rsidRPr="0034078E">
        <w:rPr>
          <w:i/>
          <w:iCs/>
        </w:rPr>
        <w:t>American Educational Research Journal, 48</w:t>
      </w:r>
      <w:r w:rsidRPr="00045A54">
        <w:t>(6), 1347-1389.</w:t>
      </w:r>
      <w:r>
        <w:t xml:space="preserve"> </w:t>
      </w:r>
      <w:hyperlink r:id="rId29" w:history="1">
        <w:r w:rsidRPr="002C4DA4">
          <w:rPr>
            <w:rStyle w:val="Hyperlink"/>
          </w:rPr>
          <w:t>https://doi.org/10.3102/0002831211423972</w:t>
        </w:r>
      </w:hyperlink>
    </w:p>
    <w:p w14:paraId="62F041D6" w14:textId="77777777" w:rsidR="00934128" w:rsidRPr="00045A54" w:rsidRDefault="00934128" w:rsidP="002B40E3">
      <w:pPr>
        <w:pStyle w:val="TMEReferencelist"/>
      </w:pPr>
      <w:r w:rsidRPr="00045A54">
        <w:t>McKenzie, K. B., &amp; Phillips, G. A. (2016). Equity traps then and now: Deficit thinking, racial erasure and naïve acceptance of meritocracy. </w:t>
      </w:r>
      <w:r w:rsidRPr="002B40E3">
        <w:rPr>
          <w:i/>
          <w:iCs/>
        </w:rPr>
        <w:t>Whiteness and Education, 1</w:t>
      </w:r>
      <w:r w:rsidRPr="00045A54">
        <w:t>(1), 26-38.</w:t>
      </w:r>
      <w:r>
        <w:t xml:space="preserve"> </w:t>
      </w:r>
      <w:hyperlink r:id="rId30" w:history="1">
        <w:r w:rsidRPr="002C4DA4">
          <w:rPr>
            <w:rStyle w:val="Hyperlink"/>
          </w:rPr>
          <w:t>https://doi.org/10.1080/23793406.2016.1159600</w:t>
        </w:r>
      </w:hyperlink>
    </w:p>
    <w:p w14:paraId="361A9924" w14:textId="77777777" w:rsidR="00934128" w:rsidRDefault="00934128" w:rsidP="0013723E">
      <w:pPr>
        <w:pStyle w:val="TMEReferencelist"/>
        <w:rPr>
          <w:lang w:val="en-AU"/>
        </w:rPr>
      </w:pPr>
      <w:r w:rsidRPr="00561758">
        <w:rPr>
          <w:lang w:val="en-AU"/>
        </w:rPr>
        <w:t xml:space="preserve">McKinney, J. P., McKinney, K. G., </w:t>
      </w:r>
      <w:proofErr w:type="spellStart"/>
      <w:r w:rsidRPr="00561758">
        <w:rPr>
          <w:lang w:val="en-AU"/>
        </w:rPr>
        <w:t>Franiuk</w:t>
      </w:r>
      <w:proofErr w:type="spellEnd"/>
      <w:r w:rsidRPr="00561758">
        <w:rPr>
          <w:lang w:val="en-AU"/>
        </w:rPr>
        <w:t>, R., &amp; Schweitzer, J. (2006). The college classroom as a community: Impact on student attitudes and learning. </w:t>
      </w:r>
      <w:r w:rsidRPr="00561758">
        <w:rPr>
          <w:i/>
          <w:iCs/>
          <w:lang w:val="en-AU"/>
        </w:rPr>
        <w:t>College Teaching</w:t>
      </w:r>
      <w:r w:rsidRPr="00561758">
        <w:rPr>
          <w:lang w:val="en-AU"/>
        </w:rPr>
        <w:t>, </w:t>
      </w:r>
      <w:r w:rsidRPr="00561758">
        <w:rPr>
          <w:i/>
          <w:iCs/>
          <w:lang w:val="en-AU"/>
        </w:rPr>
        <w:t>54</w:t>
      </w:r>
      <w:r w:rsidRPr="00561758">
        <w:rPr>
          <w:lang w:val="en-AU"/>
        </w:rPr>
        <w:t>(3), 281</w:t>
      </w:r>
      <w:r w:rsidRPr="00934128">
        <w:rPr>
          <w:lang w:val="en-AU"/>
        </w:rPr>
        <w:t>–</w:t>
      </w:r>
      <w:r w:rsidRPr="00561758">
        <w:rPr>
          <w:lang w:val="en-AU"/>
        </w:rPr>
        <w:t>284.</w:t>
      </w:r>
      <w:r>
        <w:rPr>
          <w:lang w:val="en-AU"/>
        </w:rPr>
        <w:t xml:space="preserve"> </w:t>
      </w:r>
      <w:hyperlink r:id="rId31" w:history="1">
        <w:r w:rsidRPr="00800CA7">
          <w:rPr>
            <w:rStyle w:val="Hyperlink"/>
            <w:lang w:val="en-AU"/>
          </w:rPr>
          <w:t>https://doi.org/10.3200/CTCH.54.3.281-284</w:t>
        </w:r>
      </w:hyperlink>
    </w:p>
    <w:p w14:paraId="3571D138" w14:textId="77777777" w:rsidR="00934128" w:rsidRPr="00045A54" w:rsidRDefault="00934128" w:rsidP="00CE54EB">
      <w:pPr>
        <w:pStyle w:val="TMEReferencelist"/>
      </w:pPr>
      <w:r w:rsidRPr="00045A54">
        <w:t>Paris, D. (2012). Culturally sustaining pedagogy: A needed change in stance, terminology, and practice. </w:t>
      </w:r>
      <w:r w:rsidRPr="00CE54EB">
        <w:rPr>
          <w:i/>
          <w:iCs/>
        </w:rPr>
        <w:t>Educational Researcher, 41</w:t>
      </w:r>
      <w:r w:rsidRPr="00045A54">
        <w:t>(3), 93-97.</w:t>
      </w:r>
      <w:r>
        <w:t xml:space="preserve"> </w:t>
      </w:r>
      <w:hyperlink r:id="rId32" w:history="1">
        <w:r w:rsidRPr="002C4DA4">
          <w:rPr>
            <w:rStyle w:val="Hyperlink"/>
          </w:rPr>
          <w:t>https://doi.org/10.3102/0013189X12441244</w:t>
        </w:r>
      </w:hyperlink>
    </w:p>
    <w:p w14:paraId="6A7434B2" w14:textId="77777777" w:rsidR="00934128" w:rsidRPr="00045A54" w:rsidRDefault="00934128" w:rsidP="0030374C">
      <w:pPr>
        <w:pStyle w:val="TMEReferencelist"/>
      </w:pPr>
      <w:proofErr w:type="spellStart"/>
      <w:r w:rsidRPr="00045A54">
        <w:t>Roose</w:t>
      </w:r>
      <w:proofErr w:type="spellEnd"/>
      <w:r w:rsidRPr="00045A54">
        <w:t xml:space="preserve">, I., </w:t>
      </w:r>
      <w:proofErr w:type="spellStart"/>
      <w:r w:rsidRPr="00045A54">
        <w:t>Vantieghem</w:t>
      </w:r>
      <w:proofErr w:type="spellEnd"/>
      <w:r w:rsidRPr="00045A54">
        <w:t xml:space="preserve">, W., </w:t>
      </w:r>
      <w:proofErr w:type="spellStart"/>
      <w:r w:rsidRPr="00045A54">
        <w:t>Vanderlinde</w:t>
      </w:r>
      <w:proofErr w:type="spellEnd"/>
      <w:r w:rsidRPr="00045A54">
        <w:t xml:space="preserve">, R., &amp; Van Avermaet, P. (2019). Beliefs as filters for comparing inclusive classroom situations. Connecting teachers’ beliefs about teaching diverse learners to their noticing of inclusive classroom characteristics in </w:t>
      </w:r>
      <w:r w:rsidRPr="00045A54">
        <w:lastRenderedPageBreak/>
        <w:t>videoclips. </w:t>
      </w:r>
      <w:r w:rsidRPr="0030374C">
        <w:rPr>
          <w:i/>
          <w:iCs/>
        </w:rPr>
        <w:t>Contemporary Educational Psychology, 56</w:t>
      </w:r>
      <w:r w:rsidRPr="00045A54">
        <w:t>, 140-151.</w:t>
      </w:r>
      <w:r>
        <w:t xml:space="preserve"> </w:t>
      </w:r>
      <w:hyperlink r:id="rId33" w:history="1">
        <w:r w:rsidRPr="002C4DA4">
          <w:rPr>
            <w:rStyle w:val="Hyperlink"/>
          </w:rPr>
          <w:t>https://doi.org/10.1016/j.cedpsych.2019.01.002</w:t>
        </w:r>
      </w:hyperlink>
    </w:p>
    <w:p w14:paraId="07168B53" w14:textId="77777777" w:rsidR="00934128" w:rsidRDefault="00934128" w:rsidP="0013723E">
      <w:pPr>
        <w:pStyle w:val="TMEReferencelist"/>
        <w:rPr>
          <w:lang w:val="en-AU"/>
        </w:rPr>
      </w:pPr>
      <w:proofErr w:type="spellStart"/>
      <w:r w:rsidRPr="001A612B">
        <w:rPr>
          <w:lang w:val="en-AU"/>
        </w:rPr>
        <w:t>Spader</w:t>
      </w:r>
      <w:proofErr w:type="spellEnd"/>
      <w:r w:rsidRPr="001A612B">
        <w:rPr>
          <w:lang w:val="en-AU"/>
        </w:rPr>
        <w:t>, K. (2015). </w:t>
      </w:r>
      <w:r w:rsidRPr="001A612B">
        <w:rPr>
          <w:i/>
          <w:iCs/>
          <w:lang w:val="en-AU"/>
        </w:rPr>
        <w:t>White novice teachers' perceptions regarding their preparation for teaching culturally diverse students</w:t>
      </w:r>
      <w:r w:rsidRPr="001A612B">
        <w:rPr>
          <w:lang w:val="en-AU"/>
        </w:rPr>
        <w:t> (Doctoral dissertation, Walden University).</w:t>
      </w:r>
    </w:p>
    <w:p w14:paraId="06EBAFE5" w14:textId="77777777" w:rsidR="00934128" w:rsidRPr="00045A54" w:rsidRDefault="00934128" w:rsidP="00B6736C">
      <w:pPr>
        <w:pStyle w:val="TMEReferencelist"/>
      </w:pPr>
      <w:r w:rsidRPr="00045A54">
        <w:t xml:space="preserve">Sue, D. W., Lin, A. I., Torino, G. C., </w:t>
      </w:r>
      <w:proofErr w:type="spellStart"/>
      <w:r w:rsidRPr="00045A54">
        <w:t>Capodilupo</w:t>
      </w:r>
      <w:proofErr w:type="spellEnd"/>
      <w:r w:rsidRPr="00045A54">
        <w:t>, C. M., &amp; Rivera, D. P. (2009). Racial microaggressions and difficult dialogues on race in the classroom. </w:t>
      </w:r>
      <w:r w:rsidRPr="00B6736C">
        <w:rPr>
          <w:i/>
          <w:iCs/>
        </w:rPr>
        <w:t>Cultural Diversity and Ethnic Minority Psychology, 15</w:t>
      </w:r>
      <w:r w:rsidRPr="00045A54">
        <w:t>(2), 183.</w:t>
      </w:r>
      <w:r>
        <w:t xml:space="preserve"> </w:t>
      </w:r>
      <w:hyperlink r:id="rId34" w:history="1">
        <w:r w:rsidRPr="002C4DA4">
          <w:rPr>
            <w:rStyle w:val="Hyperlink"/>
          </w:rPr>
          <w:t>https://psycnet.apa.org/doi/10.1037/a0014191</w:t>
        </w:r>
      </w:hyperlink>
    </w:p>
    <w:p w14:paraId="1AC79546" w14:textId="77777777" w:rsidR="00934128" w:rsidRPr="00045A54" w:rsidRDefault="00934128" w:rsidP="001E00C4">
      <w:pPr>
        <w:pStyle w:val="TMEReferencelist"/>
      </w:pPr>
      <w:r w:rsidRPr="00045A54">
        <w:t xml:space="preserve">Sullivan, S. E., &amp; </w:t>
      </w:r>
      <w:proofErr w:type="spellStart"/>
      <w:r w:rsidRPr="00045A54">
        <w:t>Duplaga</w:t>
      </w:r>
      <w:proofErr w:type="spellEnd"/>
      <w:r w:rsidRPr="00045A54">
        <w:t xml:space="preserve">, E. A. (1997). The </w:t>
      </w:r>
      <w:proofErr w:type="spellStart"/>
      <w:r w:rsidRPr="00045A54">
        <w:t>Bafa</w:t>
      </w:r>
      <w:proofErr w:type="spellEnd"/>
      <w:r w:rsidRPr="00045A54">
        <w:t xml:space="preserve"> </w:t>
      </w:r>
      <w:proofErr w:type="spellStart"/>
      <w:r w:rsidRPr="00045A54">
        <w:t>Bafa</w:t>
      </w:r>
      <w:proofErr w:type="spellEnd"/>
      <w:r w:rsidRPr="00045A54">
        <w:t xml:space="preserve"> simulation: Faculty experiences and student reactions. </w:t>
      </w:r>
      <w:r w:rsidRPr="001E00C4">
        <w:rPr>
          <w:i/>
          <w:iCs/>
        </w:rPr>
        <w:t>Journal of Management Education, 21</w:t>
      </w:r>
      <w:r w:rsidRPr="00045A54">
        <w:t>(2), 265-272.</w:t>
      </w:r>
      <w:r>
        <w:t xml:space="preserve"> </w:t>
      </w:r>
      <w:hyperlink r:id="rId35" w:history="1">
        <w:r w:rsidRPr="002C4DA4">
          <w:rPr>
            <w:rStyle w:val="Hyperlink"/>
          </w:rPr>
          <w:t>https://doi.org/10.1177/105256299702100212</w:t>
        </w:r>
      </w:hyperlink>
    </w:p>
    <w:p w14:paraId="75B650EE" w14:textId="77777777" w:rsidR="00934128" w:rsidRDefault="00934128" w:rsidP="0013723E">
      <w:pPr>
        <w:pStyle w:val="TMEReferencelist"/>
        <w:rPr>
          <w:lang w:val="en-AU"/>
        </w:rPr>
      </w:pPr>
      <w:r w:rsidRPr="00934128">
        <w:rPr>
          <w:lang w:val="en-AU"/>
        </w:rPr>
        <w:t xml:space="preserve">Taylor, R., Yeboah, A. K., &amp; </w:t>
      </w:r>
      <w:proofErr w:type="spellStart"/>
      <w:r w:rsidRPr="00934128">
        <w:rPr>
          <w:lang w:val="en-AU"/>
        </w:rPr>
        <w:t>Ringlaben</w:t>
      </w:r>
      <w:proofErr w:type="spellEnd"/>
      <w:r w:rsidRPr="00934128">
        <w:rPr>
          <w:lang w:val="en-AU"/>
        </w:rPr>
        <w:t>, R. P. (2015). Pre-service Teachers’ Perceptions towards Multicultural Education and Teaching of Culturally and Linguistically Diverse Learners. </w:t>
      </w:r>
      <w:r w:rsidRPr="00934128">
        <w:rPr>
          <w:i/>
          <w:iCs/>
          <w:lang w:val="en-AU"/>
        </w:rPr>
        <w:t>International Journal for Innovation Education and Research</w:t>
      </w:r>
      <w:r w:rsidRPr="00934128">
        <w:rPr>
          <w:lang w:val="en-AU"/>
        </w:rPr>
        <w:t>, </w:t>
      </w:r>
      <w:r w:rsidRPr="00934128">
        <w:rPr>
          <w:i/>
          <w:iCs/>
          <w:lang w:val="en-AU"/>
        </w:rPr>
        <w:t>3</w:t>
      </w:r>
      <w:r w:rsidRPr="00934128">
        <w:rPr>
          <w:lang w:val="en-AU"/>
        </w:rPr>
        <w:t>(9), 75–87. </w:t>
      </w:r>
      <w:hyperlink r:id="rId36" w:history="1">
        <w:r w:rsidRPr="00934128">
          <w:rPr>
            <w:rStyle w:val="Hyperlink"/>
            <w:lang w:val="en-AU"/>
          </w:rPr>
          <w:t>https://doi.org/10.31686/ijier.vol3.iss9.434</w:t>
        </w:r>
      </w:hyperlink>
    </w:p>
    <w:p w14:paraId="6E4BA4A2" w14:textId="77777777" w:rsidR="00934128" w:rsidRPr="00045A54" w:rsidRDefault="00934128" w:rsidP="00C54A70">
      <w:pPr>
        <w:pStyle w:val="TMEReferencelist"/>
      </w:pPr>
      <w:r w:rsidRPr="00045A54">
        <w:t xml:space="preserve">Townley, G., Katz, J., </w:t>
      </w:r>
      <w:proofErr w:type="spellStart"/>
      <w:r w:rsidRPr="00045A54">
        <w:t>Wandersman</w:t>
      </w:r>
      <w:proofErr w:type="spellEnd"/>
      <w:r w:rsidRPr="00045A54">
        <w:t xml:space="preserve">, A., Skiles, B., </w:t>
      </w:r>
      <w:proofErr w:type="spellStart"/>
      <w:r w:rsidRPr="00045A54">
        <w:t>Schillaci</w:t>
      </w:r>
      <w:proofErr w:type="spellEnd"/>
      <w:r w:rsidRPr="00045A54">
        <w:t xml:space="preserve">, M. J., Timmerman, B. E., &amp; </w:t>
      </w:r>
      <w:proofErr w:type="spellStart"/>
      <w:r w:rsidRPr="00045A54">
        <w:t>Mousseau</w:t>
      </w:r>
      <w:proofErr w:type="spellEnd"/>
      <w:r w:rsidRPr="00045A54">
        <w:t>, T. A. (2013). Exploring the role of sense of community in the undergraduate transfer student experience. </w:t>
      </w:r>
      <w:r w:rsidRPr="00C54A70">
        <w:rPr>
          <w:i/>
          <w:iCs/>
        </w:rPr>
        <w:t>Journal of Community Psychology, 41</w:t>
      </w:r>
      <w:r w:rsidRPr="00045A54">
        <w:t>(3), 277-290.</w:t>
      </w:r>
      <w:r>
        <w:t xml:space="preserve"> </w:t>
      </w:r>
      <w:hyperlink r:id="rId37" w:history="1">
        <w:r w:rsidRPr="002C4DA4">
          <w:rPr>
            <w:rStyle w:val="Hyperlink"/>
          </w:rPr>
          <w:t>http://dx.doi.org/10.1002/jcop.21529</w:t>
        </w:r>
      </w:hyperlink>
    </w:p>
    <w:p w14:paraId="66F7C386" w14:textId="77777777" w:rsidR="00934128" w:rsidRPr="00437BB4" w:rsidRDefault="00934128" w:rsidP="00437BB4">
      <w:pPr>
        <w:pStyle w:val="TMEReferencelist"/>
        <w:rPr>
          <w:lang w:val="en-AU"/>
        </w:rPr>
      </w:pPr>
      <w:r w:rsidRPr="00045A54">
        <w:t>Turner, E. E., Drake, C., McDuffie, A. R., Aguirre, J., Bartell, T. G., &amp; Foote, M. Q. (2012). Promoting equity in mathematics teacher preparation: A framework for advancing teacher learning of children’s multiple mathematics knowledge bases. </w:t>
      </w:r>
      <w:r w:rsidRPr="00DF0FC5">
        <w:rPr>
          <w:i/>
          <w:iCs/>
        </w:rPr>
        <w:t>Journal of Mathematics Teacher Education, 15</w:t>
      </w:r>
      <w:r w:rsidRPr="00045A54">
        <w:t>(1), 67-82.</w:t>
      </w:r>
      <w:r>
        <w:t xml:space="preserve"> </w:t>
      </w:r>
      <w:hyperlink r:id="rId38" w:history="1">
        <w:r w:rsidRPr="002C4DA4">
          <w:rPr>
            <w:rStyle w:val="Hyperlink"/>
            <w:lang w:val="en-AU"/>
          </w:rPr>
          <w:t>https://doi.org/10.1007/s10857-011-9196-6</w:t>
        </w:r>
      </w:hyperlink>
    </w:p>
    <w:p w14:paraId="4A14E271" w14:textId="77777777" w:rsidR="00934128" w:rsidRPr="00045A54" w:rsidRDefault="00934128" w:rsidP="00940291">
      <w:pPr>
        <w:pStyle w:val="TMEReferencelist"/>
        <w:rPr>
          <w:rFonts w:eastAsia="Batang"/>
        </w:rPr>
      </w:pPr>
      <w:proofErr w:type="spellStart"/>
      <w:r w:rsidRPr="00045A54">
        <w:t>Wendorf</w:t>
      </w:r>
      <w:proofErr w:type="spellEnd"/>
      <w:r w:rsidRPr="00045A54">
        <w:t xml:space="preserve"> Muhamad, J., &amp; Yang, F. (2019). Cross-cultural learning in gameplay: BAFÁ </w:t>
      </w:r>
      <w:proofErr w:type="spellStart"/>
      <w:r w:rsidRPr="00045A54">
        <w:t>BAFÁ</w:t>
      </w:r>
      <w:proofErr w:type="spellEnd"/>
      <w:r w:rsidRPr="00045A54">
        <w:t>, persuasive technology, and the exploration of intercultural sensitivity. </w:t>
      </w:r>
      <w:r w:rsidRPr="005A14EA">
        <w:rPr>
          <w:i/>
          <w:iCs/>
        </w:rPr>
        <w:t>Simulation &amp; Gaming, 50</w:t>
      </w:r>
      <w:r w:rsidRPr="00045A54">
        <w:t>(6), 848-859.</w:t>
      </w:r>
      <w:r>
        <w:rPr>
          <w:rFonts w:eastAsia="Batang"/>
        </w:rPr>
        <w:t xml:space="preserve"> </w:t>
      </w:r>
      <w:hyperlink r:id="rId39" w:history="1">
        <w:r w:rsidRPr="002C4DA4">
          <w:rPr>
            <w:rStyle w:val="Hyperlink"/>
          </w:rPr>
          <w:t>https://doi.org/10.1177/1046878119879742</w:t>
        </w:r>
      </w:hyperlink>
    </w:p>
    <w:p w14:paraId="1E3FDF12" w14:textId="77777777" w:rsidR="00934128" w:rsidRPr="00045A54" w:rsidRDefault="00934128" w:rsidP="005A14EA">
      <w:pPr>
        <w:pStyle w:val="TMEReferencelist"/>
      </w:pPr>
      <w:r w:rsidRPr="00045A54">
        <w:t xml:space="preserve">Whitaker, M. C., &amp; </w:t>
      </w:r>
      <w:proofErr w:type="spellStart"/>
      <w:r w:rsidRPr="00045A54">
        <w:t>Valtierra</w:t>
      </w:r>
      <w:proofErr w:type="spellEnd"/>
      <w:r w:rsidRPr="00045A54">
        <w:t>, K. M. (2018). Enhancing preservice teachers’ motivation to teach diverse learners. </w:t>
      </w:r>
      <w:r w:rsidRPr="005A14EA">
        <w:rPr>
          <w:i/>
          <w:iCs/>
        </w:rPr>
        <w:t>Teaching and Teacher Education, 73</w:t>
      </w:r>
      <w:r w:rsidRPr="00045A54">
        <w:t>, 171-182.</w:t>
      </w:r>
      <w:r>
        <w:t xml:space="preserve"> </w:t>
      </w:r>
      <w:hyperlink r:id="rId40" w:history="1">
        <w:r w:rsidRPr="002C4DA4">
          <w:rPr>
            <w:rStyle w:val="Hyperlink"/>
          </w:rPr>
          <w:t>https://doi.org/10.1016/j.tate.2018.04.004</w:t>
        </w:r>
      </w:hyperlink>
    </w:p>
    <w:p w14:paraId="135D7D19" w14:textId="77777777" w:rsidR="00934128" w:rsidRDefault="00934128" w:rsidP="00045A54">
      <w:pPr>
        <w:pStyle w:val="TMEReferencelist"/>
      </w:pPr>
      <w:r w:rsidRPr="00045A54">
        <w:t xml:space="preserve">Wyss, V. L., </w:t>
      </w:r>
      <w:proofErr w:type="spellStart"/>
      <w:r w:rsidRPr="00045A54">
        <w:t>Heulskamp</w:t>
      </w:r>
      <w:proofErr w:type="spellEnd"/>
      <w:r w:rsidRPr="00045A54">
        <w:t>, D., &amp; Siebert, C. J. (2012). Increasing middle school student interest in STEM careers with videos of scientists. </w:t>
      </w:r>
      <w:r w:rsidRPr="004D1DE0">
        <w:rPr>
          <w:i/>
          <w:iCs/>
        </w:rPr>
        <w:t>International Journal of Environmental and Science Education, 7</w:t>
      </w:r>
      <w:r w:rsidRPr="00045A54">
        <w:t>(4), 501-522.</w:t>
      </w:r>
    </w:p>
    <w:p w14:paraId="64E59C30" w14:textId="32886DEF" w:rsidR="008A1B38" w:rsidRPr="008A1B38" w:rsidRDefault="008A1B38" w:rsidP="00934128">
      <w:pPr>
        <w:pStyle w:val="TMEReferencelist"/>
        <w:ind w:left="0" w:firstLine="0"/>
      </w:pPr>
      <w:r w:rsidRPr="008A1B38">
        <w:br w:type="page"/>
      </w:r>
    </w:p>
    <w:p w14:paraId="0DE4B468" w14:textId="1565967F" w:rsidR="008A1B38" w:rsidRPr="008A1B38" w:rsidRDefault="008A1B38" w:rsidP="001A0D2F">
      <w:pPr>
        <w:pStyle w:val="Heading1"/>
        <w:rPr>
          <w:rFonts w:eastAsia="Batang"/>
          <w:noProof/>
        </w:rPr>
      </w:pPr>
      <w:r w:rsidRPr="008A1B38">
        <w:rPr>
          <w:rFonts w:eastAsia="Batang"/>
          <w:noProof/>
        </w:rPr>
        <w:lastRenderedPageBreak/>
        <w:t>Appendix 1: Reflection Paper</w:t>
      </w:r>
    </w:p>
    <w:p w14:paraId="030DBA70" w14:textId="77777777" w:rsidR="00CC755C" w:rsidRPr="001A0D2F" w:rsidRDefault="008A1B38" w:rsidP="004E770C">
      <w:pPr>
        <w:pStyle w:val="TMEBodytext"/>
        <w:ind w:left="1080" w:hanging="1080"/>
      </w:pPr>
      <w:r w:rsidRPr="001A0D2F">
        <w:rPr>
          <w:b/>
          <w:bCs/>
        </w:rPr>
        <w:t>Directions:</w:t>
      </w:r>
      <w:r w:rsidRPr="008A1B38">
        <w:t xml:space="preserve"> write up a short paragraph in response to each of the following questions. You may handwrite your responses, using additional paper, if needed; or your response may be typed and emailed.</w:t>
      </w:r>
    </w:p>
    <w:p w14:paraId="32CE43FD" w14:textId="7412748A" w:rsidR="008A1B38" w:rsidRPr="008A1B38" w:rsidRDefault="008A1B38" w:rsidP="001A0D2F">
      <w:pPr>
        <w:pStyle w:val="TMEBodytext"/>
      </w:pPr>
      <w:r w:rsidRPr="008A1B38">
        <w:tab/>
      </w:r>
    </w:p>
    <w:p w14:paraId="15ED844E" w14:textId="77777777" w:rsidR="00CA6DAE" w:rsidRDefault="008A1B38" w:rsidP="00CA6DAE">
      <w:pPr>
        <w:pStyle w:val="TMEBodytext"/>
        <w:ind w:firstLine="0"/>
      </w:pPr>
      <w:r w:rsidRPr="008A1B38">
        <w:t xml:space="preserve">Answer </w:t>
      </w:r>
      <w:r w:rsidRPr="004E770C">
        <w:rPr>
          <w:u w:val="single"/>
        </w:rPr>
        <w:t>at least 5</w:t>
      </w:r>
      <w:r w:rsidRPr="008A1B38">
        <w:t xml:space="preserve"> of the following questions related to the Alpha/Beta culture:</w:t>
      </w:r>
      <w:r w:rsidRPr="008A1B38">
        <w:tab/>
      </w:r>
    </w:p>
    <w:p w14:paraId="2E130FBC" w14:textId="0BCEC1CD" w:rsidR="008A1B38" w:rsidRPr="008A1B38" w:rsidRDefault="008A1B38" w:rsidP="00CA6DAE">
      <w:pPr>
        <w:pStyle w:val="TMEBodytext"/>
        <w:ind w:left="360" w:hanging="360"/>
        <w:jc w:val="right"/>
      </w:pPr>
      <w:r w:rsidRPr="008A1B38">
        <w:t>(3+ sentences)</w:t>
      </w:r>
    </w:p>
    <w:p w14:paraId="2C4F7C6F" w14:textId="77777777" w:rsidR="008A1B38" w:rsidRPr="008A1B38" w:rsidRDefault="008A1B38" w:rsidP="004E770C">
      <w:pPr>
        <w:pStyle w:val="TMEBodytext"/>
        <w:numPr>
          <w:ilvl w:val="0"/>
          <w:numId w:val="6"/>
        </w:numPr>
        <w:ind w:left="360"/>
      </w:pPr>
      <w:r w:rsidRPr="008A1B38">
        <w:t>Describe the culture you visited.</w:t>
      </w:r>
    </w:p>
    <w:p w14:paraId="00657FB3" w14:textId="77777777" w:rsidR="008A1B38" w:rsidRPr="008A1B38" w:rsidRDefault="008A1B38" w:rsidP="004E770C">
      <w:pPr>
        <w:pStyle w:val="TMEBodytext"/>
        <w:numPr>
          <w:ilvl w:val="0"/>
          <w:numId w:val="6"/>
        </w:numPr>
        <w:ind w:left="360"/>
      </w:pPr>
      <w:r w:rsidRPr="008A1B38">
        <w:t>How did you feel visiting the other culture?</w:t>
      </w:r>
    </w:p>
    <w:p w14:paraId="50E0B38B" w14:textId="77777777" w:rsidR="008A1B38" w:rsidRPr="008A1B38" w:rsidRDefault="008A1B38" w:rsidP="004E770C">
      <w:pPr>
        <w:pStyle w:val="TMEBodytext"/>
        <w:numPr>
          <w:ilvl w:val="0"/>
          <w:numId w:val="6"/>
        </w:numPr>
        <w:ind w:left="360"/>
      </w:pPr>
      <w:r w:rsidRPr="008A1B38">
        <w:t>How did the other culture behave when they interacted with you – a visitor?</w:t>
      </w:r>
    </w:p>
    <w:p w14:paraId="5754BA35" w14:textId="77777777" w:rsidR="008A1B38" w:rsidRPr="008A1B38" w:rsidRDefault="008A1B38" w:rsidP="004E770C">
      <w:pPr>
        <w:pStyle w:val="TMEBodytext"/>
        <w:numPr>
          <w:ilvl w:val="0"/>
          <w:numId w:val="6"/>
        </w:numPr>
        <w:ind w:left="360"/>
      </w:pPr>
      <w:r w:rsidRPr="008A1B38">
        <w:t>How did your culture behave when there were visitors?</w:t>
      </w:r>
    </w:p>
    <w:p w14:paraId="68785BE4" w14:textId="77777777" w:rsidR="008A1B38" w:rsidRPr="008A1B38" w:rsidRDefault="008A1B38" w:rsidP="004E770C">
      <w:pPr>
        <w:pStyle w:val="TMEBodytext"/>
        <w:numPr>
          <w:ilvl w:val="0"/>
          <w:numId w:val="6"/>
        </w:numPr>
        <w:ind w:left="360"/>
      </w:pPr>
      <w:r w:rsidRPr="008A1B38">
        <w:t>Summarize the rules of the culture you visited.</w:t>
      </w:r>
    </w:p>
    <w:p w14:paraId="6C6A3575" w14:textId="77777777" w:rsidR="008A1B38" w:rsidRPr="008A1B38" w:rsidRDefault="008A1B38" w:rsidP="004E770C">
      <w:pPr>
        <w:pStyle w:val="TMEBodytext"/>
        <w:numPr>
          <w:ilvl w:val="0"/>
          <w:numId w:val="6"/>
        </w:numPr>
        <w:ind w:left="360"/>
      </w:pPr>
      <w:r w:rsidRPr="008A1B38">
        <w:t>How did the other culture compare to yours?</w:t>
      </w:r>
    </w:p>
    <w:p w14:paraId="568FB578" w14:textId="77777777" w:rsidR="004E770C" w:rsidRDefault="008A1B38" w:rsidP="004E770C">
      <w:pPr>
        <w:pStyle w:val="TMEBodytext"/>
        <w:numPr>
          <w:ilvl w:val="0"/>
          <w:numId w:val="6"/>
        </w:numPr>
        <w:ind w:left="360"/>
      </w:pPr>
      <w:r w:rsidRPr="008A1B38">
        <w:t>If you could have spent more time in the other culture, could you have found out more about their rules, etc.? Explain.</w:t>
      </w:r>
    </w:p>
    <w:p w14:paraId="467B1CD1" w14:textId="77777777" w:rsidR="004E770C" w:rsidRDefault="004E770C" w:rsidP="004E770C">
      <w:pPr>
        <w:pStyle w:val="TMEBodytext"/>
        <w:ind w:firstLine="0"/>
      </w:pPr>
    </w:p>
    <w:p w14:paraId="62252572" w14:textId="7C0D4D59" w:rsidR="004E770C" w:rsidRDefault="004E770C" w:rsidP="004E770C">
      <w:pPr>
        <w:pStyle w:val="TMEBodytext"/>
        <w:ind w:firstLine="0"/>
      </w:pPr>
      <w:r w:rsidRPr="008A1B38">
        <w:t xml:space="preserve">Answer </w:t>
      </w:r>
      <w:r w:rsidRPr="00A93E42">
        <w:rPr>
          <w:u w:val="single"/>
        </w:rPr>
        <w:t>at least 3</w:t>
      </w:r>
      <w:r w:rsidRPr="008A1B38">
        <w:t xml:space="preserve"> of the following questions related to real li</w:t>
      </w:r>
      <w:r>
        <w:t>fe</w:t>
      </w:r>
      <w:r w:rsidRPr="008A1B38">
        <w:tab/>
        <w:t>(3+ sentences)</w:t>
      </w:r>
    </w:p>
    <w:p w14:paraId="4634FDB8" w14:textId="77777777" w:rsidR="004E770C" w:rsidRDefault="008A1B38" w:rsidP="004E770C">
      <w:pPr>
        <w:pStyle w:val="TMEBodytext"/>
        <w:numPr>
          <w:ilvl w:val="0"/>
          <w:numId w:val="6"/>
        </w:numPr>
        <w:ind w:left="360"/>
      </w:pPr>
      <w:r w:rsidRPr="008A1B38">
        <w:t>During the simulation you were not able to find out the other culture’s norms, rules, etc.  What are some “hidden” rules of your culture?</w:t>
      </w:r>
    </w:p>
    <w:p w14:paraId="13242224" w14:textId="77777777" w:rsidR="004E770C" w:rsidRDefault="008A1B38" w:rsidP="004E770C">
      <w:pPr>
        <w:pStyle w:val="TMEBodytext"/>
        <w:numPr>
          <w:ilvl w:val="0"/>
          <w:numId w:val="6"/>
        </w:numPr>
        <w:ind w:left="360"/>
      </w:pPr>
      <w:r w:rsidRPr="008A1B38">
        <w:t>Compare this activity to something you have experienced in your life.</w:t>
      </w:r>
    </w:p>
    <w:p w14:paraId="66E7387A" w14:textId="77777777" w:rsidR="004E770C" w:rsidRDefault="008A1B38" w:rsidP="004E770C">
      <w:pPr>
        <w:pStyle w:val="TMEBodytext"/>
        <w:numPr>
          <w:ilvl w:val="0"/>
          <w:numId w:val="6"/>
        </w:numPr>
        <w:ind w:left="360"/>
      </w:pPr>
      <w:r w:rsidRPr="008A1B38">
        <w:t>What should you do during a stay in a foreign country (or in a situation where you are not the dominate culture) to make your experience positive, successful, and/or pleasurable?</w:t>
      </w:r>
    </w:p>
    <w:p w14:paraId="3681C987" w14:textId="77777777" w:rsidR="00A93E42" w:rsidRDefault="008A1B38" w:rsidP="00A93E42">
      <w:pPr>
        <w:pStyle w:val="TMEBodytext"/>
        <w:numPr>
          <w:ilvl w:val="0"/>
          <w:numId w:val="6"/>
        </w:numPr>
        <w:ind w:left="360"/>
      </w:pPr>
      <w:r w:rsidRPr="008A1B38">
        <w:t>What does this activity have to do with Ethnomathematics and why is it important to incorporate some Ethnomathematics into your classroom? (You may need to do a little research about “ethnomathematics”.)</w:t>
      </w:r>
    </w:p>
    <w:p w14:paraId="32A5F6C1" w14:textId="77777777" w:rsidR="00A93E42" w:rsidRDefault="00A93E42" w:rsidP="00A93E42">
      <w:pPr>
        <w:pStyle w:val="TMEBodytext"/>
        <w:ind w:firstLine="0"/>
      </w:pPr>
    </w:p>
    <w:p w14:paraId="7BD6B8DA" w14:textId="77777777" w:rsidR="00CA6DAE" w:rsidRDefault="00A93E42" w:rsidP="00A93E42">
      <w:pPr>
        <w:pStyle w:val="TMEBodytext"/>
        <w:ind w:firstLine="0"/>
      </w:pPr>
      <w:r w:rsidRPr="008A1B38">
        <w:t xml:space="preserve">Answer </w:t>
      </w:r>
      <w:r w:rsidRPr="00A93E42">
        <w:rPr>
          <w:u w:val="single"/>
        </w:rPr>
        <w:t>at least 4</w:t>
      </w:r>
      <w:r w:rsidRPr="008A1B38">
        <w:t xml:space="preserve"> of the following questions:</w:t>
      </w:r>
    </w:p>
    <w:p w14:paraId="0C4EBD88" w14:textId="62589847" w:rsidR="00A93E42" w:rsidRDefault="00A93E42" w:rsidP="00CA6DAE">
      <w:pPr>
        <w:pStyle w:val="TMEBodytext"/>
        <w:ind w:firstLine="0"/>
        <w:jc w:val="right"/>
      </w:pPr>
      <w:r w:rsidRPr="008A1B38">
        <w:t>(3+ sentences)</w:t>
      </w:r>
    </w:p>
    <w:p w14:paraId="771009B1" w14:textId="77777777" w:rsidR="00A93E42" w:rsidRDefault="008A1B38" w:rsidP="00A93E42">
      <w:pPr>
        <w:pStyle w:val="TMEBodytext"/>
        <w:numPr>
          <w:ilvl w:val="0"/>
          <w:numId w:val="6"/>
        </w:numPr>
        <w:ind w:left="360"/>
      </w:pPr>
      <w:r w:rsidRPr="008A1B38">
        <w:t>How can you use this activity to benefit you as a teacher?</w:t>
      </w:r>
    </w:p>
    <w:p w14:paraId="26121874" w14:textId="77777777" w:rsidR="00A93E42" w:rsidRDefault="008A1B38" w:rsidP="00A93E42">
      <w:pPr>
        <w:pStyle w:val="TMEBodytext"/>
        <w:numPr>
          <w:ilvl w:val="0"/>
          <w:numId w:val="6"/>
        </w:numPr>
        <w:ind w:left="360"/>
      </w:pPr>
      <w:r w:rsidRPr="008A1B38">
        <w:lastRenderedPageBreak/>
        <w:t>How does this activity relate to math history? (In other words, imagine two cultures interacting together and needing to complete a business transaction.)</w:t>
      </w:r>
    </w:p>
    <w:p w14:paraId="791DEDFD" w14:textId="77777777" w:rsidR="00A93E42" w:rsidRDefault="008A1B38" w:rsidP="00A93E42">
      <w:pPr>
        <w:pStyle w:val="TMEBodytext"/>
        <w:numPr>
          <w:ilvl w:val="0"/>
          <w:numId w:val="6"/>
        </w:numPr>
        <w:ind w:left="360"/>
      </w:pPr>
      <w:r w:rsidRPr="008A1B38">
        <w:t>What did you learn from this activity and how can you use what you learned to help you in your everyday life (not related to teaching)?</w:t>
      </w:r>
    </w:p>
    <w:p w14:paraId="1364F008" w14:textId="77777777" w:rsidR="005C265C" w:rsidRDefault="008A1B38" w:rsidP="005C265C">
      <w:pPr>
        <w:pStyle w:val="TMEBodytext"/>
        <w:numPr>
          <w:ilvl w:val="0"/>
          <w:numId w:val="6"/>
        </w:numPr>
        <w:ind w:left="360"/>
      </w:pPr>
      <w:r w:rsidRPr="008A1B38">
        <w:t>Find out at least 1 “hidden” rule or norm you weren’t aware of from (at least) 2 other cultures that you often come in contact with.  (For example, if you are Hispanic, you may want to ask African American and Caucasian friends (or search the on the Internet for) some of their norms, rules, etc.)</w:t>
      </w:r>
    </w:p>
    <w:p w14:paraId="2791DC9F" w14:textId="77777777" w:rsidR="005C265C" w:rsidRDefault="005C265C" w:rsidP="005C265C">
      <w:pPr>
        <w:pStyle w:val="TMEBodytext"/>
        <w:ind w:firstLine="0"/>
      </w:pPr>
    </w:p>
    <w:p w14:paraId="6EA85E99" w14:textId="77777777" w:rsidR="001F07B8" w:rsidRDefault="005C265C" w:rsidP="005C265C">
      <w:pPr>
        <w:pStyle w:val="TMEBodytext"/>
        <w:ind w:firstLine="0"/>
      </w:pPr>
      <w:r w:rsidRPr="008A1B38">
        <w:t xml:space="preserve">Answer </w:t>
      </w:r>
      <w:r w:rsidRPr="005C265C">
        <w:rPr>
          <w:b/>
          <w:bCs/>
        </w:rPr>
        <w:t>all</w:t>
      </w:r>
      <w:r w:rsidRPr="008A1B38">
        <w:t xml:space="preserve"> of the following questions:</w:t>
      </w:r>
    </w:p>
    <w:p w14:paraId="6DDF8532" w14:textId="57F50AB3" w:rsidR="005C265C" w:rsidRDefault="005C265C" w:rsidP="001F07B8">
      <w:pPr>
        <w:pStyle w:val="TMEBodytext"/>
        <w:ind w:firstLine="0"/>
        <w:jc w:val="right"/>
      </w:pPr>
      <w:r w:rsidRPr="008A1B38">
        <w:t>(3+ sentences)</w:t>
      </w:r>
    </w:p>
    <w:p w14:paraId="1E3C8487" w14:textId="77777777" w:rsidR="005C265C" w:rsidRDefault="008A1B38" w:rsidP="005C265C">
      <w:pPr>
        <w:pStyle w:val="TMEBodytext"/>
        <w:numPr>
          <w:ilvl w:val="0"/>
          <w:numId w:val="6"/>
        </w:numPr>
        <w:ind w:left="360"/>
      </w:pPr>
      <w:r w:rsidRPr="008A1B38">
        <w:t>Summarize the two readings in at least a paragraph each</w:t>
      </w:r>
    </w:p>
    <w:p w14:paraId="5C77C68E" w14:textId="77777777" w:rsidR="005C265C" w:rsidRDefault="008A1B38" w:rsidP="005C265C">
      <w:pPr>
        <w:pStyle w:val="TMEBodytext"/>
        <w:numPr>
          <w:ilvl w:val="0"/>
          <w:numId w:val="6"/>
        </w:numPr>
        <w:ind w:left="360"/>
      </w:pPr>
      <w:r w:rsidRPr="008A1B38">
        <w:t>List four questions/comments you have about the readings</w:t>
      </w:r>
    </w:p>
    <w:p w14:paraId="2B291A58" w14:textId="77777777" w:rsidR="005C265C" w:rsidRDefault="008A1B38" w:rsidP="005C265C">
      <w:pPr>
        <w:pStyle w:val="TMEBodytext"/>
        <w:numPr>
          <w:ilvl w:val="0"/>
          <w:numId w:val="6"/>
        </w:numPr>
        <w:ind w:left="360"/>
      </w:pPr>
      <w:r w:rsidRPr="008A1B38">
        <w:t>How, if at all, do the readings relate to the activity we did in class tonight?</w:t>
      </w:r>
    </w:p>
    <w:p w14:paraId="38DEB8D3" w14:textId="77777777" w:rsidR="005C265C" w:rsidRDefault="008A1B38" w:rsidP="005C265C">
      <w:pPr>
        <w:pStyle w:val="TMEBodytext"/>
        <w:numPr>
          <w:ilvl w:val="0"/>
          <w:numId w:val="6"/>
        </w:numPr>
        <w:ind w:left="360"/>
      </w:pPr>
      <w:r w:rsidRPr="008A1B38">
        <w:t>How does the activity we did tonight relate to your life?</w:t>
      </w:r>
    </w:p>
    <w:p w14:paraId="366470CF" w14:textId="78286F30" w:rsidR="00CA064A" w:rsidRDefault="008A1B38" w:rsidP="007F4175">
      <w:pPr>
        <w:pStyle w:val="TMEBodytext"/>
        <w:numPr>
          <w:ilvl w:val="0"/>
          <w:numId w:val="6"/>
        </w:numPr>
        <w:ind w:left="360"/>
      </w:pPr>
      <w:r w:rsidRPr="008A1B38">
        <w:t>How does the activity we did tonight relate to your future classroom?</w:t>
      </w:r>
    </w:p>
    <w:sectPr w:rsidR="00CA064A" w:rsidSect="005A5732">
      <w:headerReference w:type="even" r:id="rId41"/>
      <w:headerReference w:type="default" r:id="rId42"/>
      <w:footerReference w:type="even" r:id="rId43"/>
      <w:footerReference w:type="default" r:id="rId44"/>
      <w:headerReference w:type="first" r:id="rId45"/>
      <w:pgSz w:w="7920" w:h="12240" w:code="1"/>
      <w:pgMar w:top="1152" w:right="1152" w:bottom="864" w:left="1152" w:header="720" w:footer="720" w:gutter="0"/>
      <w:pgNumType w:start="5"/>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DEE3" w14:textId="77777777" w:rsidR="00FF4837" w:rsidRDefault="00FF4837" w:rsidP="006739F9">
      <w:pPr>
        <w:spacing w:line="240" w:lineRule="auto"/>
      </w:pPr>
      <w:r>
        <w:separator/>
      </w:r>
    </w:p>
  </w:endnote>
  <w:endnote w:type="continuationSeparator" w:id="0">
    <w:p w14:paraId="060B115F" w14:textId="77777777" w:rsidR="00FF4837" w:rsidRDefault="00FF4837" w:rsidP="00673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C7D9" w14:textId="77777777" w:rsidR="00D86D32" w:rsidRPr="008153D3" w:rsidRDefault="00A741A7" w:rsidP="00F2789E">
    <w:pPr>
      <w:pStyle w:val="Footer"/>
      <w:jc w:val="left"/>
      <w:rPr>
        <w:sz w:val="16"/>
        <w:szCs w:val="16"/>
      </w:rPr>
    </w:pPr>
    <w:r w:rsidRPr="008153D3">
      <w:rPr>
        <w:rStyle w:val="PageNumber"/>
        <w:sz w:val="16"/>
        <w:szCs w:val="16"/>
      </w:rPr>
      <w:fldChar w:fldCharType="begin"/>
    </w:r>
    <w:r w:rsidRPr="008153D3">
      <w:rPr>
        <w:rStyle w:val="PageNumber"/>
        <w:sz w:val="16"/>
        <w:szCs w:val="16"/>
      </w:rPr>
      <w:instrText xml:space="preserve"> PAGE </w:instrText>
    </w:r>
    <w:r w:rsidRPr="008153D3">
      <w:rPr>
        <w:rStyle w:val="PageNumber"/>
        <w:sz w:val="16"/>
        <w:szCs w:val="16"/>
      </w:rPr>
      <w:fldChar w:fldCharType="separate"/>
    </w:r>
    <w:r>
      <w:rPr>
        <w:rStyle w:val="PageNumber"/>
        <w:noProof/>
        <w:sz w:val="16"/>
        <w:szCs w:val="16"/>
      </w:rPr>
      <w:t>4</w:t>
    </w:r>
    <w:r w:rsidRPr="008153D3">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4DF7" w14:textId="77777777" w:rsidR="00D86D32" w:rsidRPr="008153D3" w:rsidRDefault="00A741A7" w:rsidP="00F2789E">
    <w:pPr>
      <w:pStyle w:val="Footer"/>
      <w:jc w:val="right"/>
      <w:rPr>
        <w:sz w:val="16"/>
        <w:szCs w:val="16"/>
      </w:rPr>
    </w:pPr>
    <w:r w:rsidRPr="008153D3">
      <w:rPr>
        <w:rStyle w:val="PageNumber"/>
        <w:sz w:val="16"/>
        <w:szCs w:val="16"/>
      </w:rPr>
      <w:fldChar w:fldCharType="begin"/>
    </w:r>
    <w:r w:rsidRPr="008153D3">
      <w:rPr>
        <w:rStyle w:val="PageNumber"/>
        <w:sz w:val="16"/>
        <w:szCs w:val="16"/>
      </w:rPr>
      <w:instrText xml:space="preserve"> PAGE </w:instrText>
    </w:r>
    <w:r w:rsidRPr="008153D3">
      <w:rPr>
        <w:rStyle w:val="PageNumber"/>
        <w:sz w:val="16"/>
        <w:szCs w:val="16"/>
      </w:rPr>
      <w:fldChar w:fldCharType="separate"/>
    </w:r>
    <w:r>
      <w:rPr>
        <w:rStyle w:val="PageNumber"/>
        <w:noProof/>
        <w:sz w:val="16"/>
        <w:szCs w:val="16"/>
      </w:rPr>
      <w:t>5</w:t>
    </w:r>
    <w:r w:rsidRPr="008153D3">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02BD" w14:textId="77777777" w:rsidR="00FF4837" w:rsidRDefault="00FF4837" w:rsidP="006739F9">
      <w:pPr>
        <w:spacing w:line="240" w:lineRule="auto"/>
      </w:pPr>
      <w:r>
        <w:separator/>
      </w:r>
    </w:p>
  </w:footnote>
  <w:footnote w:type="continuationSeparator" w:id="0">
    <w:p w14:paraId="273E8B03" w14:textId="77777777" w:rsidR="00FF4837" w:rsidRDefault="00FF4837" w:rsidP="006739F9">
      <w:pPr>
        <w:spacing w:line="240" w:lineRule="auto"/>
      </w:pPr>
      <w:r>
        <w:continuationSeparator/>
      </w:r>
    </w:p>
  </w:footnote>
  <w:footnote w:id="1">
    <w:p w14:paraId="7156B9B8" w14:textId="7B404B54" w:rsidR="008A1B38" w:rsidRDefault="008A1B38" w:rsidP="00812649">
      <w:pPr>
        <w:pStyle w:val="TMEFootnoteText"/>
      </w:pPr>
      <w:r>
        <w:rPr>
          <w:rStyle w:val="FootnoteReference"/>
        </w:rPr>
        <w:footnoteRef/>
      </w:r>
      <w:r>
        <w:t xml:space="preserve"> These descriptions were written by the students. While we acknowledge that they are not using standard academic language for their descriptions, the language that they </w:t>
      </w:r>
      <w:r w:rsidR="00BE0DD8">
        <w:t>chose</w:t>
      </w:r>
      <w:r>
        <w:t xml:space="preserve"> to use reflects their level of cultural awareness at the beginning of the semester. For this reason, we have not modified their descriptions.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117F" w14:textId="1AB62ECD" w:rsidR="00D86D32" w:rsidRPr="003E5A26" w:rsidRDefault="00BC4453" w:rsidP="00BC4453">
    <w:pPr>
      <w:pStyle w:val="TMEFootnoteText"/>
    </w:pPr>
    <w:r w:rsidRPr="00BC4453">
      <w:rPr>
        <w:lang w:val="en-US"/>
      </w:rPr>
      <w:t xml:space="preserve">Using </w:t>
    </w:r>
    <w:proofErr w:type="spellStart"/>
    <w:r w:rsidRPr="00BC4453">
      <w:rPr>
        <w:lang w:val="en-US"/>
      </w:rPr>
      <w:t>Bafa</w:t>
    </w:r>
    <w:proofErr w:type="spellEnd"/>
    <w:r w:rsidRPr="00BC4453">
      <w:rPr>
        <w:lang w:val="en-US"/>
      </w:rPr>
      <w:t xml:space="preserve"> </w:t>
    </w:r>
    <w:proofErr w:type="spellStart"/>
    <w:r w:rsidRPr="00BC4453">
      <w:rPr>
        <w:lang w:val="en-US"/>
      </w:rPr>
      <w:t>Bafa</w:t>
    </w:r>
    <w:proofErr w:type="spellEnd"/>
    <w:r w:rsidRPr="00BC4453">
      <w:rPr>
        <w:lang w:val="en-US"/>
      </w:rPr>
      <w:t xml:space="preserve"> </w:t>
    </w:r>
    <w:r>
      <w:rPr>
        <w:lang w:val="en-US"/>
      </w:rPr>
      <w:t>t</w:t>
    </w:r>
    <w:r w:rsidRPr="00BC4453">
      <w:rPr>
        <w:lang w:val="en-US"/>
      </w:rPr>
      <w:t xml:space="preserve">o Help PSTs Experience Microaggressions </w:t>
    </w:r>
    <w:r>
      <w:rPr>
        <w:lang w:val="en-US"/>
      </w:rPr>
      <w:t>i</w:t>
    </w:r>
    <w:r w:rsidRPr="00BC4453">
      <w:rPr>
        <w:lang w:val="en-US"/>
      </w:rPr>
      <w:t xml:space="preserve">n </w:t>
    </w:r>
    <w:r>
      <w:rPr>
        <w:lang w:val="en-US"/>
      </w:rPr>
      <w:t>t</w:t>
    </w:r>
    <w:r w:rsidRPr="00BC4453">
      <w:rPr>
        <w:lang w:val="en-US"/>
      </w:rPr>
      <w:t>he Classroom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3C3D" w14:textId="74714D79" w:rsidR="00D86D32" w:rsidRPr="003E5A26" w:rsidRDefault="00F35C77" w:rsidP="003E5A26">
    <w:pPr>
      <w:pStyle w:val="Header"/>
      <w:jc w:val="right"/>
      <w:rPr>
        <w:sz w:val="16"/>
        <w:szCs w:val="16"/>
        <w:lang w:val="en-US"/>
      </w:rPr>
    </w:pPr>
    <w:r>
      <w:rPr>
        <w:sz w:val="16"/>
        <w:szCs w:val="16"/>
        <w:lang w:val="en-US"/>
      </w:rPr>
      <w:t>Rebecca Dibbs</w:t>
    </w:r>
    <w:r w:rsidR="00173CF6">
      <w:rPr>
        <w:sz w:val="16"/>
        <w:szCs w:val="16"/>
        <w:lang w:val="en-US"/>
      </w:rPr>
      <w:t>,</w:t>
    </w:r>
    <w:r>
      <w:rPr>
        <w:sz w:val="16"/>
        <w:szCs w:val="16"/>
        <w:lang w:val="en-US"/>
      </w:rPr>
      <w:t xml:space="preserve"> Kelly Lewis, Jennifer Moon, Rebecca Steward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31AE" w14:textId="77777777" w:rsidR="00D86D32" w:rsidRPr="00A63FD4" w:rsidRDefault="00A741A7" w:rsidP="00FE137C">
    <w:pPr>
      <w:pStyle w:val="Header"/>
      <w:spacing w:line="240" w:lineRule="auto"/>
      <w:rPr>
        <w:i/>
        <w:sz w:val="16"/>
        <w:szCs w:val="16"/>
      </w:rPr>
    </w:pPr>
    <w:r w:rsidRPr="00A63FD4">
      <w:rPr>
        <w:i/>
        <w:sz w:val="16"/>
        <w:szCs w:val="16"/>
      </w:rPr>
      <w:t>The Mathematics Educator</w:t>
    </w:r>
  </w:p>
  <w:p w14:paraId="0AAB8A06" w14:textId="0FD10DB2" w:rsidR="00D86D32" w:rsidRPr="00A63FD4" w:rsidRDefault="00DB636B" w:rsidP="00FE137C">
    <w:pPr>
      <w:pStyle w:val="Header"/>
      <w:spacing w:line="240" w:lineRule="auto"/>
      <w:rPr>
        <w:sz w:val="16"/>
        <w:szCs w:val="16"/>
      </w:rPr>
    </w:pPr>
    <w:r>
      <w:rPr>
        <w:sz w:val="16"/>
        <w:szCs w:val="16"/>
      </w:rPr>
      <w:t>2023</w:t>
    </w:r>
    <w:r w:rsidR="00A741A7">
      <w:rPr>
        <w:sz w:val="16"/>
        <w:szCs w:val="16"/>
      </w:rPr>
      <w:t xml:space="preserve"> Vol. </w:t>
    </w:r>
    <w:r>
      <w:rPr>
        <w:sz w:val="16"/>
        <w:szCs w:val="16"/>
      </w:rPr>
      <w:t>31</w:t>
    </w:r>
    <w:r w:rsidR="00A741A7">
      <w:rPr>
        <w:sz w:val="16"/>
        <w:szCs w:val="16"/>
      </w:rPr>
      <w:t xml:space="preserve">, No. </w:t>
    </w:r>
    <w:r>
      <w:rPr>
        <w:sz w:val="16"/>
        <w:szCs w:val="16"/>
      </w:rPr>
      <w:t>1</w:t>
    </w:r>
    <w:r w:rsidR="008C46B4">
      <w:rPr>
        <w:sz w:val="16"/>
        <w:szCs w:val="16"/>
      </w:rPr>
      <w:t>, 5–</w:t>
    </w:r>
    <w:r w:rsidR="00B77C99">
      <w:rPr>
        <w:sz w:val="16"/>
        <w:szCs w:val="16"/>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6FB4"/>
    <w:multiLevelType w:val="hybridMultilevel"/>
    <w:tmpl w:val="61DCBD06"/>
    <w:lvl w:ilvl="0" w:tplc="2DB02612">
      <w:start w:val="1"/>
      <w:numFmt w:val="bullet"/>
      <w:pStyle w:val="TME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4946"/>
    <w:multiLevelType w:val="hybridMultilevel"/>
    <w:tmpl w:val="A47242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EA67B7"/>
    <w:multiLevelType w:val="hybridMultilevel"/>
    <w:tmpl w:val="24A2B7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9002B"/>
    <w:multiLevelType w:val="multilevel"/>
    <w:tmpl w:val="4AA0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C43AD"/>
    <w:multiLevelType w:val="hybridMultilevel"/>
    <w:tmpl w:val="E22E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975DA"/>
    <w:multiLevelType w:val="hybridMultilevel"/>
    <w:tmpl w:val="098EE7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9A4C64"/>
    <w:multiLevelType w:val="hybridMultilevel"/>
    <w:tmpl w:val="9A7046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705004">
    <w:abstractNumId w:val="0"/>
  </w:num>
  <w:num w:numId="2" w16cid:durableId="932516307">
    <w:abstractNumId w:val="2"/>
  </w:num>
  <w:num w:numId="3" w16cid:durableId="231232145">
    <w:abstractNumId w:val="6"/>
  </w:num>
  <w:num w:numId="4" w16cid:durableId="961769197">
    <w:abstractNumId w:val="4"/>
  </w:num>
  <w:num w:numId="5" w16cid:durableId="1499425165">
    <w:abstractNumId w:val="3"/>
  </w:num>
  <w:num w:numId="6" w16cid:durableId="1828790357">
    <w:abstractNumId w:val="1"/>
  </w:num>
  <w:num w:numId="7" w16cid:durableId="1400900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F9"/>
    <w:rsid w:val="0000485E"/>
    <w:rsid w:val="0000666E"/>
    <w:rsid w:val="00007027"/>
    <w:rsid w:val="0001063D"/>
    <w:rsid w:val="000357B7"/>
    <w:rsid w:val="00040AC1"/>
    <w:rsid w:val="00044679"/>
    <w:rsid w:val="00045A54"/>
    <w:rsid w:val="000803EA"/>
    <w:rsid w:val="00084FDB"/>
    <w:rsid w:val="000923C9"/>
    <w:rsid w:val="0009260D"/>
    <w:rsid w:val="000A1C89"/>
    <w:rsid w:val="000A2AD9"/>
    <w:rsid w:val="000A47B9"/>
    <w:rsid w:val="000B39CD"/>
    <w:rsid w:val="000D0136"/>
    <w:rsid w:val="000D51AB"/>
    <w:rsid w:val="000F3123"/>
    <w:rsid w:val="001207C4"/>
    <w:rsid w:val="00122B17"/>
    <w:rsid w:val="00132917"/>
    <w:rsid w:val="00134E87"/>
    <w:rsid w:val="0013723E"/>
    <w:rsid w:val="00137ED6"/>
    <w:rsid w:val="00146E14"/>
    <w:rsid w:val="00154797"/>
    <w:rsid w:val="001710B0"/>
    <w:rsid w:val="00173CF6"/>
    <w:rsid w:val="00197807"/>
    <w:rsid w:val="001A0D2F"/>
    <w:rsid w:val="001A612B"/>
    <w:rsid w:val="001C1ACA"/>
    <w:rsid w:val="001D36CE"/>
    <w:rsid w:val="001D5F10"/>
    <w:rsid w:val="001E00C4"/>
    <w:rsid w:val="001E51A5"/>
    <w:rsid w:val="001E5539"/>
    <w:rsid w:val="001E681E"/>
    <w:rsid w:val="001F07B8"/>
    <w:rsid w:val="002142F9"/>
    <w:rsid w:val="00236338"/>
    <w:rsid w:val="00257E1D"/>
    <w:rsid w:val="00275A33"/>
    <w:rsid w:val="0029721B"/>
    <w:rsid w:val="00297B7F"/>
    <w:rsid w:val="002B40E3"/>
    <w:rsid w:val="002D2890"/>
    <w:rsid w:val="002E21B0"/>
    <w:rsid w:val="002E6865"/>
    <w:rsid w:val="0030374C"/>
    <w:rsid w:val="003056A8"/>
    <w:rsid w:val="003077CA"/>
    <w:rsid w:val="0032070D"/>
    <w:rsid w:val="0032798E"/>
    <w:rsid w:val="00332E8A"/>
    <w:rsid w:val="00335130"/>
    <w:rsid w:val="0034078E"/>
    <w:rsid w:val="00347EB5"/>
    <w:rsid w:val="00352E88"/>
    <w:rsid w:val="00365E4C"/>
    <w:rsid w:val="00377D39"/>
    <w:rsid w:val="003945A9"/>
    <w:rsid w:val="003B0A13"/>
    <w:rsid w:val="003B4D68"/>
    <w:rsid w:val="003C76FA"/>
    <w:rsid w:val="003C7960"/>
    <w:rsid w:val="003D4B25"/>
    <w:rsid w:val="003E65CC"/>
    <w:rsid w:val="003E6D2F"/>
    <w:rsid w:val="003F00AA"/>
    <w:rsid w:val="003F3782"/>
    <w:rsid w:val="003F7E41"/>
    <w:rsid w:val="00434383"/>
    <w:rsid w:val="00437BB4"/>
    <w:rsid w:val="00445D6D"/>
    <w:rsid w:val="00450FA8"/>
    <w:rsid w:val="004566DE"/>
    <w:rsid w:val="00462697"/>
    <w:rsid w:val="0048019B"/>
    <w:rsid w:val="00480E45"/>
    <w:rsid w:val="004956CE"/>
    <w:rsid w:val="004B7D63"/>
    <w:rsid w:val="004C4828"/>
    <w:rsid w:val="004D1DE0"/>
    <w:rsid w:val="004D3B26"/>
    <w:rsid w:val="004D522C"/>
    <w:rsid w:val="004D546A"/>
    <w:rsid w:val="004D60DF"/>
    <w:rsid w:val="004E770C"/>
    <w:rsid w:val="004E79B4"/>
    <w:rsid w:val="00501C83"/>
    <w:rsid w:val="005030DB"/>
    <w:rsid w:val="0051168C"/>
    <w:rsid w:val="0051189A"/>
    <w:rsid w:val="00514741"/>
    <w:rsid w:val="00543F63"/>
    <w:rsid w:val="00544A79"/>
    <w:rsid w:val="005524D8"/>
    <w:rsid w:val="00561758"/>
    <w:rsid w:val="00574C45"/>
    <w:rsid w:val="00575E3D"/>
    <w:rsid w:val="005949E3"/>
    <w:rsid w:val="005A14EA"/>
    <w:rsid w:val="005A5732"/>
    <w:rsid w:val="005B4F3F"/>
    <w:rsid w:val="005C265C"/>
    <w:rsid w:val="005D03A8"/>
    <w:rsid w:val="005E0EBA"/>
    <w:rsid w:val="005E7A10"/>
    <w:rsid w:val="00604287"/>
    <w:rsid w:val="00612EB4"/>
    <w:rsid w:val="00624CBB"/>
    <w:rsid w:val="00635510"/>
    <w:rsid w:val="00654471"/>
    <w:rsid w:val="006660A8"/>
    <w:rsid w:val="006739F9"/>
    <w:rsid w:val="006E34FB"/>
    <w:rsid w:val="006E6402"/>
    <w:rsid w:val="00711D90"/>
    <w:rsid w:val="007238D6"/>
    <w:rsid w:val="007808E2"/>
    <w:rsid w:val="00784066"/>
    <w:rsid w:val="00792044"/>
    <w:rsid w:val="0079709A"/>
    <w:rsid w:val="007C2F9C"/>
    <w:rsid w:val="007C4A14"/>
    <w:rsid w:val="007C4F3C"/>
    <w:rsid w:val="007C5EE2"/>
    <w:rsid w:val="007C61CF"/>
    <w:rsid w:val="007F0839"/>
    <w:rsid w:val="007F1CD0"/>
    <w:rsid w:val="007F4175"/>
    <w:rsid w:val="007F54B1"/>
    <w:rsid w:val="00812649"/>
    <w:rsid w:val="00820319"/>
    <w:rsid w:val="00831FAE"/>
    <w:rsid w:val="00844B62"/>
    <w:rsid w:val="0085351B"/>
    <w:rsid w:val="00875629"/>
    <w:rsid w:val="00877BDD"/>
    <w:rsid w:val="0088150D"/>
    <w:rsid w:val="0089705A"/>
    <w:rsid w:val="008A1B38"/>
    <w:rsid w:val="008B5539"/>
    <w:rsid w:val="008C3E83"/>
    <w:rsid w:val="008C46B4"/>
    <w:rsid w:val="008E128F"/>
    <w:rsid w:val="008F5FC2"/>
    <w:rsid w:val="009114FC"/>
    <w:rsid w:val="00924FDD"/>
    <w:rsid w:val="009319FB"/>
    <w:rsid w:val="00934128"/>
    <w:rsid w:val="00936E4C"/>
    <w:rsid w:val="00940291"/>
    <w:rsid w:val="00940FC7"/>
    <w:rsid w:val="00950930"/>
    <w:rsid w:val="009524ED"/>
    <w:rsid w:val="0097345C"/>
    <w:rsid w:val="00976246"/>
    <w:rsid w:val="009776C2"/>
    <w:rsid w:val="00996B10"/>
    <w:rsid w:val="009A41DA"/>
    <w:rsid w:val="009A4725"/>
    <w:rsid w:val="009B0C68"/>
    <w:rsid w:val="009B50AA"/>
    <w:rsid w:val="009D2F42"/>
    <w:rsid w:val="009E1A90"/>
    <w:rsid w:val="009F18D4"/>
    <w:rsid w:val="009F6BED"/>
    <w:rsid w:val="00A27CD3"/>
    <w:rsid w:val="00A50A78"/>
    <w:rsid w:val="00A54729"/>
    <w:rsid w:val="00A664E9"/>
    <w:rsid w:val="00A675CC"/>
    <w:rsid w:val="00A741A7"/>
    <w:rsid w:val="00A81605"/>
    <w:rsid w:val="00A816CC"/>
    <w:rsid w:val="00A9128A"/>
    <w:rsid w:val="00A93E42"/>
    <w:rsid w:val="00A94584"/>
    <w:rsid w:val="00AA14F4"/>
    <w:rsid w:val="00AA62B9"/>
    <w:rsid w:val="00AB60EF"/>
    <w:rsid w:val="00AB701E"/>
    <w:rsid w:val="00AD07D0"/>
    <w:rsid w:val="00AE7473"/>
    <w:rsid w:val="00B33D7A"/>
    <w:rsid w:val="00B34D87"/>
    <w:rsid w:val="00B42F65"/>
    <w:rsid w:val="00B523C6"/>
    <w:rsid w:val="00B6736C"/>
    <w:rsid w:val="00B67EFD"/>
    <w:rsid w:val="00B70343"/>
    <w:rsid w:val="00B707B7"/>
    <w:rsid w:val="00B76AAA"/>
    <w:rsid w:val="00B77C99"/>
    <w:rsid w:val="00B822FC"/>
    <w:rsid w:val="00B958E4"/>
    <w:rsid w:val="00BB4DC8"/>
    <w:rsid w:val="00BB5A6D"/>
    <w:rsid w:val="00BC4453"/>
    <w:rsid w:val="00BD79C7"/>
    <w:rsid w:val="00BE0DD8"/>
    <w:rsid w:val="00BE5C2B"/>
    <w:rsid w:val="00BF5587"/>
    <w:rsid w:val="00C07EC7"/>
    <w:rsid w:val="00C13981"/>
    <w:rsid w:val="00C37924"/>
    <w:rsid w:val="00C541D3"/>
    <w:rsid w:val="00C54A70"/>
    <w:rsid w:val="00C634E4"/>
    <w:rsid w:val="00C73E60"/>
    <w:rsid w:val="00C75F1A"/>
    <w:rsid w:val="00C911A9"/>
    <w:rsid w:val="00CA064A"/>
    <w:rsid w:val="00CA60F3"/>
    <w:rsid w:val="00CA67CA"/>
    <w:rsid w:val="00CA6DAE"/>
    <w:rsid w:val="00CB03FD"/>
    <w:rsid w:val="00CB042A"/>
    <w:rsid w:val="00CB17A8"/>
    <w:rsid w:val="00CB64B4"/>
    <w:rsid w:val="00CC755C"/>
    <w:rsid w:val="00CE4430"/>
    <w:rsid w:val="00CE54EB"/>
    <w:rsid w:val="00CF0FC7"/>
    <w:rsid w:val="00CF1171"/>
    <w:rsid w:val="00D25FEA"/>
    <w:rsid w:val="00D33DC7"/>
    <w:rsid w:val="00D34DAB"/>
    <w:rsid w:val="00D52D58"/>
    <w:rsid w:val="00D6125B"/>
    <w:rsid w:val="00D7006F"/>
    <w:rsid w:val="00D81563"/>
    <w:rsid w:val="00D82132"/>
    <w:rsid w:val="00D8465E"/>
    <w:rsid w:val="00D8651D"/>
    <w:rsid w:val="00D86D32"/>
    <w:rsid w:val="00DA1BE8"/>
    <w:rsid w:val="00DB1D6C"/>
    <w:rsid w:val="00DB636B"/>
    <w:rsid w:val="00DB6F67"/>
    <w:rsid w:val="00DC7BCC"/>
    <w:rsid w:val="00DD2507"/>
    <w:rsid w:val="00DF0FC5"/>
    <w:rsid w:val="00DF66D4"/>
    <w:rsid w:val="00E13768"/>
    <w:rsid w:val="00E244DA"/>
    <w:rsid w:val="00E304C1"/>
    <w:rsid w:val="00E40BDE"/>
    <w:rsid w:val="00E60919"/>
    <w:rsid w:val="00E652FE"/>
    <w:rsid w:val="00E87D7F"/>
    <w:rsid w:val="00E900A2"/>
    <w:rsid w:val="00E93FA6"/>
    <w:rsid w:val="00E9684A"/>
    <w:rsid w:val="00E97A27"/>
    <w:rsid w:val="00EA396B"/>
    <w:rsid w:val="00EB0D59"/>
    <w:rsid w:val="00EC4E11"/>
    <w:rsid w:val="00EC75F4"/>
    <w:rsid w:val="00ED0B20"/>
    <w:rsid w:val="00F032C1"/>
    <w:rsid w:val="00F109C3"/>
    <w:rsid w:val="00F25484"/>
    <w:rsid w:val="00F35C77"/>
    <w:rsid w:val="00F462E3"/>
    <w:rsid w:val="00FB1C53"/>
    <w:rsid w:val="00FB4CD1"/>
    <w:rsid w:val="00FB4ED7"/>
    <w:rsid w:val="00FB5B24"/>
    <w:rsid w:val="00FD146B"/>
    <w:rsid w:val="00FE714A"/>
    <w:rsid w:val="00FF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39C6A"/>
  <w15:chartTrackingRefBased/>
  <w15:docId w15:val="{BC1E9301-FC5B-4552-8268-D82E3AC8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F9"/>
    <w:pPr>
      <w:tabs>
        <w:tab w:val="right" w:pos="8640"/>
      </w:tabs>
      <w:spacing w:after="0" w:line="480" w:lineRule="auto"/>
    </w:pPr>
    <w:rPr>
      <w:rFonts w:ascii="Times New Roman" w:eastAsia="Times New Roman" w:hAnsi="Times New Roman" w:cs="Times New Roman"/>
      <w:sz w:val="24"/>
      <w:szCs w:val="24"/>
      <w:lang w:val="en-AU"/>
    </w:rPr>
  </w:style>
  <w:style w:type="paragraph" w:styleId="Heading1">
    <w:name w:val="heading 1"/>
    <w:aliases w:val="TME Heading 1"/>
    <w:basedOn w:val="Normal"/>
    <w:next w:val="TMEBodytext"/>
    <w:link w:val="Heading1Char"/>
    <w:qFormat/>
    <w:rsid w:val="006739F9"/>
    <w:pPr>
      <w:keepNext/>
      <w:spacing w:before="240" w:after="240" w:line="240" w:lineRule="auto"/>
      <w:jc w:val="center"/>
      <w:outlineLvl w:val="0"/>
    </w:pPr>
    <w:rPr>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ME Heading 1 Char"/>
    <w:basedOn w:val="DefaultParagraphFont"/>
    <w:link w:val="Heading1"/>
    <w:rsid w:val="006739F9"/>
    <w:rPr>
      <w:rFonts w:ascii="Times New Roman" w:eastAsia="Times New Roman" w:hAnsi="Times New Roman" w:cs="Times New Roman"/>
      <w:b/>
    </w:rPr>
  </w:style>
  <w:style w:type="paragraph" w:styleId="Footer">
    <w:name w:val="footer"/>
    <w:basedOn w:val="Normal"/>
    <w:link w:val="FooterChar"/>
    <w:rsid w:val="006739F9"/>
    <w:pPr>
      <w:keepLines/>
      <w:tabs>
        <w:tab w:val="center" w:pos="4320"/>
      </w:tabs>
      <w:jc w:val="center"/>
    </w:pPr>
    <w:rPr>
      <w:sz w:val="22"/>
    </w:rPr>
  </w:style>
  <w:style w:type="character" w:customStyle="1" w:styleId="FooterChar">
    <w:name w:val="Footer Char"/>
    <w:basedOn w:val="DefaultParagraphFont"/>
    <w:link w:val="Footer"/>
    <w:rsid w:val="006739F9"/>
    <w:rPr>
      <w:rFonts w:ascii="Times New Roman" w:eastAsia="Times New Roman" w:hAnsi="Times New Roman" w:cs="Times New Roman"/>
      <w:szCs w:val="24"/>
      <w:lang w:val="en-AU"/>
    </w:rPr>
  </w:style>
  <w:style w:type="character" w:styleId="PageNumber">
    <w:name w:val="page number"/>
    <w:rsid w:val="006739F9"/>
    <w:rPr>
      <w:rFonts w:cs="Times New Roman"/>
      <w:sz w:val="24"/>
    </w:rPr>
  </w:style>
  <w:style w:type="paragraph" w:styleId="Header">
    <w:name w:val="header"/>
    <w:basedOn w:val="Normal"/>
    <w:link w:val="HeaderChar"/>
    <w:rsid w:val="006739F9"/>
    <w:pPr>
      <w:tabs>
        <w:tab w:val="center" w:pos="4320"/>
      </w:tabs>
    </w:pPr>
  </w:style>
  <w:style w:type="character" w:customStyle="1" w:styleId="HeaderChar">
    <w:name w:val="Header Char"/>
    <w:basedOn w:val="DefaultParagraphFont"/>
    <w:link w:val="Header"/>
    <w:rsid w:val="006739F9"/>
    <w:rPr>
      <w:rFonts w:ascii="Times New Roman" w:eastAsia="Times New Roman" w:hAnsi="Times New Roman" w:cs="Times New Roman"/>
      <w:sz w:val="24"/>
      <w:szCs w:val="24"/>
      <w:lang w:val="en-AU"/>
    </w:rPr>
  </w:style>
  <w:style w:type="character" w:styleId="Hyperlink">
    <w:name w:val="Hyperlink"/>
    <w:semiHidden/>
    <w:rsid w:val="006739F9"/>
    <w:rPr>
      <w:rFonts w:cs="Times New Roman"/>
      <w:color w:val="0000FF"/>
      <w:u w:val="single"/>
    </w:rPr>
  </w:style>
  <w:style w:type="paragraph" w:styleId="Title">
    <w:name w:val="Title"/>
    <w:basedOn w:val="Normal"/>
    <w:next w:val="Normal"/>
    <w:link w:val="TitleChar"/>
    <w:rsid w:val="006739F9"/>
    <w:pPr>
      <w:spacing w:after="160" w:line="240" w:lineRule="auto"/>
      <w:jc w:val="center"/>
    </w:pPr>
    <w:rPr>
      <w:rFonts w:ascii="Palatino Linotype" w:hAnsi="Palatino Linotype"/>
      <w:b/>
      <w:bCs/>
      <w:sz w:val="28"/>
      <w:szCs w:val="22"/>
      <w:lang w:val="en-US"/>
    </w:rPr>
  </w:style>
  <w:style w:type="character" w:customStyle="1" w:styleId="TitleChar">
    <w:name w:val="Title Char"/>
    <w:basedOn w:val="DefaultParagraphFont"/>
    <w:link w:val="Title"/>
    <w:rsid w:val="006739F9"/>
    <w:rPr>
      <w:rFonts w:ascii="Palatino Linotype" w:eastAsia="Times New Roman" w:hAnsi="Palatino Linotype" w:cs="Times New Roman"/>
      <w:b/>
      <w:bCs/>
      <w:sz w:val="28"/>
    </w:rPr>
  </w:style>
  <w:style w:type="paragraph" w:customStyle="1" w:styleId="TMEAuthorsname">
    <w:name w:val="TME Author(s) name"/>
    <w:basedOn w:val="Normal"/>
    <w:qFormat/>
    <w:rsid w:val="006739F9"/>
    <w:pPr>
      <w:tabs>
        <w:tab w:val="left" w:pos="720"/>
      </w:tabs>
      <w:spacing w:after="240" w:line="240" w:lineRule="auto"/>
      <w:jc w:val="center"/>
    </w:pPr>
    <w:rPr>
      <w:lang w:val="en-GB"/>
    </w:rPr>
  </w:style>
  <w:style w:type="paragraph" w:customStyle="1" w:styleId="TMEAbstract">
    <w:name w:val="TME Abstract"/>
    <w:basedOn w:val="Normal"/>
    <w:qFormat/>
    <w:rsid w:val="006739F9"/>
    <w:pPr>
      <w:pBdr>
        <w:bottom w:val="thickThinSmallGap" w:sz="24" w:space="8" w:color="auto"/>
      </w:pBdr>
      <w:spacing w:after="240" w:line="240" w:lineRule="auto"/>
      <w:jc w:val="both"/>
    </w:pPr>
    <w:rPr>
      <w:i/>
      <w:sz w:val="20"/>
      <w:szCs w:val="20"/>
      <w:lang w:val="en-US"/>
    </w:rPr>
  </w:style>
  <w:style w:type="paragraph" w:customStyle="1" w:styleId="TMEAuthorbio">
    <w:name w:val="TME Author bio"/>
    <w:basedOn w:val="Normal"/>
    <w:qFormat/>
    <w:rsid w:val="006739F9"/>
    <w:pPr>
      <w:pBdr>
        <w:top w:val="thinThickSmallGap" w:sz="24" w:space="1" w:color="auto"/>
      </w:pBdr>
      <w:tabs>
        <w:tab w:val="clear" w:pos="8640"/>
      </w:tabs>
      <w:spacing w:after="120" w:line="240" w:lineRule="auto"/>
      <w:jc w:val="both"/>
    </w:pPr>
    <w:rPr>
      <w:rFonts w:ascii="Times" w:eastAsia="Times" w:hAnsi="Times"/>
      <w:b/>
      <w:i/>
      <w:sz w:val="18"/>
      <w:szCs w:val="20"/>
      <w:lang w:eastAsia="zh-CN"/>
    </w:rPr>
  </w:style>
  <w:style w:type="paragraph" w:customStyle="1" w:styleId="TMEBodytext">
    <w:name w:val="TME Body text"/>
    <w:basedOn w:val="Normal"/>
    <w:link w:val="TMEBodytextChar"/>
    <w:qFormat/>
    <w:rsid w:val="006739F9"/>
    <w:pPr>
      <w:spacing w:line="240" w:lineRule="auto"/>
      <w:ind w:firstLine="360"/>
      <w:jc w:val="both"/>
    </w:pPr>
    <w:rPr>
      <w:rFonts w:eastAsia="Batang"/>
      <w:noProof/>
      <w:sz w:val="22"/>
      <w:szCs w:val="22"/>
      <w:lang w:val="en-US"/>
    </w:rPr>
  </w:style>
  <w:style w:type="paragraph" w:customStyle="1" w:styleId="TMEReferencelist">
    <w:name w:val="TME Reference list"/>
    <w:basedOn w:val="Normal"/>
    <w:qFormat/>
    <w:rsid w:val="006739F9"/>
    <w:pPr>
      <w:tabs>
        <w:tab w:val="left" w:pos="360"/>
      </w:tabs>
      <w:spacing w:after="120" w:line="240" w:lineRule="auto"/>
      <w:ind w:left="360" w:hanging="360"/>
    </w:pPr>
    <w:rPr>
      <w:color w:val="1A1A1A"/>
      <w:sz w:val="18"/>
      <w:szCs w:val="18"/>
      <w:lang w:val="en-US"/>
    </w:rPr>
  </w:style>
  <w:style w:type="paragraph" w:customStyle="1" w:styleId="TMEHeading2">
    <w:name w:val="TME Heading 2"/>
    <w:basedOn w:val="Normal"/>
    <w:next w:val="TMEBodytext"/>
    <w:qFormat/>
    <w:rsid w:val="006739F9"/>
    <w:pPr>
      <w:keepNext/>
      <w:spacing w:before="240" w:after="240" w:line="240" w:lineRule="auto"/>
    </w:pPr>
    <w:rPr>
      <w:b/>
      <w:sz w:val="22"/>
      <w:szCs w:val="22"/>
      <w:lang w:val="en-US"/>
    </w:rPr>
  </w:style>
  <w:style w:type="paragraph" w:customStyle="1" w:styleId="TMEBlockQuote">
    <w:name w:val="TME Block Quote"/>
    <w:basedOn w:val="Normal"/>
    <w:qFormat/>
    <w:rsid w:val="006739F9"/>
    <w:pPr>
      <w:spacing w:before="200" w:after="200" w:line="240" w:lineRule="auto"/>
      <w:ind w:left="360"/>
      <w:jc w:val="both"/>
    </w:pPr>
    <w:rPr>
      <w:sz w:val="22"/>
      <w:szCs w:val="22"/>
      <w:lang w:val="en-US"/>
    </w:rPr>
  </w:style>
  <w:style w:type="paragraph" w:customStyle="1" w:styleId="TMEBulletedList">
    <w:name w:val="TME Bulleted List"/>
    <w:basedOn w:val="Normal"/>
    <w:qFormat/>
    <w:rsid w:val="006739F9"/>
    <w:pPr>
      <w:numPr>
        <w:numId w:val="1"/>
      </w:numPr>
      <w:tabs>
        <w:tab w:val="clear" w:pos="8640"/>
      </w:tabs>
      <w:spacing w:before="200" w:after="200" w:line="240" w:lineRule="auto"/>
      <w:ind w:right="-58"/>
      <w:contextualSpacing/>
      <w:jc w:val="both"/>
    </w:pPr>
    <w:rPr>
      <w:rFonts w:eastAsia="Calibri"/>
      <w:sz w:val="22"/>
      <w:szCs w:val="22"/>
      <w:lang w:val="en-US"/>
    </w:rPr>
  </w:style>
  <w:style w:type="paragraph" w:customStyle="1" w:styleId="TMEHeading3">
    <w:name w:val="TME Heading 3"/>
    <w:basedOn w:val="TMEHeading2"/>
    <w:qFormat/>
    <w:rsid w:val="0079709A"/>
    <w:rPr>
      <w:i/>
      <w:iCs/>
    </w:rPr>
  </w:style>
  <w:style w:type="paragraph" w:customStyle="1" w:styleId="TMETablecells">
    <w:name w:val="TME Table cells"/>
    <w:basedOn w:val="Normal"/>
    <w:link w:val="TMETablecellsChar"/>
    <w:qFormat/>
    <w:rsid w:val="006739F9"/>
    <w:pPr>
      <w:spacing w:line="240" w:lineRule="auto"/>
    </w:pPr>
    <w:rPr>
      <w:rFonts w:eastAsia="Batang"/>
      <w:noProof/>
      <w:sz w:val="18"/>
      <w:szCs w:val="22"/>
      <w:lang w:val="en-US"/>
    </w:rPr>
  </w:style>
  <w:style w:type="character" w:customStyle="1" w:styleId="TMEBodytextChar">
    <w:name w:val="TME Body text Char"/>
    <w:basedOn w:val="DefaultParagraphFont"/>
    <w:link w:val="TMEBodytext"/>
    <w:rsid w:val="006739F9"/>
    <w:rPr>
      <w:rFonts w:ascii="Times New Roman" w:eastAsia="Batang" w:hAnsi="Times New Roman" w:cs="Times New Roman"/>
      <w:noProof/>
    </w:rPr>
  </w:style>
  <w:style w:type="character" w:customStyle="1" w:styleId="TMETablecellsChar">
    <w:name w:val="TME Table cells Char"/>
    <w:basedOn w:val="TMEBodytextChar"/>
    <w:link w:val="TMETablecells"/>
    <w:rsid w:val="006739F9"/>
    <w:rPr>
      <w:rFonts w:ascii="Times New Roman" w:eastAsia="Batang" w:hAnsi="Times New Roman" w:cs="Times New Roman"/>
      <w:noProof/>
      <w:sz w:val="18"/>
    </w:rPr>
  </w:style>
  <w:style w:type="table" w:customStyle="1" w:styleId="APAReport1">
    <w:name w:val="APA Report1"/>
    <w:basedOn w:val="TableNormal"/>
    <w:uiPriority w:val="99"/>
    <w:rsid w:val="006739F9"/>
    <w:pPr>
      <w:spacing w:after="0" w:line="240" w:lineRule="auto"/>
    </w:pPr>
    <w:rPr>
      <w:rFonts w:ascii="Times New Roman" w:eastAsia="SimSun" w:hAnsi="Times New Roman" w:cs="Times New Roman"/>
      <w:sz w:val="24"/>
      <w:szCs w:val="24"/>
      <w:lang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MEnotetablefigure">
    <w:name w:val="TME note (table figure)"/>
    <w:basedOn w:val="TMEBodytext"/>
    <w:next w:val="TMEBodytext"/>
    <w:link w:val="TMEnotetablefigureChar"/>
    <w:qFormat/>
    <w:rsid w:val="00A816CC"/>
    <w:pPr>
      <w:spacing w:after="200"/>
      <w:ind w:firstLine="0"/>
    </w:pPr>
    <w:rPr>
      <w:iCs/>
      <w:sz w:val="18"/>
      <w:lang w:val="en-AU"/>
    </w:rPr>
  </w:style>
  <w:style w:type="paragraph" w:customStyle="1" w:styleId="TMEFigure">
    <w:name w:val="TME Figure"/>
    <w:basedOn w:val="TMEBodytext"/>
    <w:link w:val="TMEFigureChar"/>
    <w:qFormat/>
    <w:rsid w:val="000D51AB"/>
    <w:pPr>
      <w:keepNext/>
      <w:ind w:firstLine="0"/>
      <w:jc w:val="center"/>
    </w:pPr>
  </w:style>
  <w:style w:type="character" w:customStyle="1" w:styleId="TMEnotetablefigureChar">
    <w:name w:val="TME note (table figure) Char"/>
    <w:basedOn w:val="TMEBodytextChar"/>
    <w:link w:val="TMEnotetablefigure"/>
    <w:rsid w:val="00A816CC"/>
    <w:rPr>
      <w:rFonts w:ascii="Times New Roman" w:eastAsia="Batang" w:hAnsi="Times New Roman" w:cs="Times New Roman"/>
      <w:iCs/>
      <w:noProof/>
      <w:sz w:val="18"/>
      <w:lang w:val="en-AU"/>
    </w:rPr>
  </w:style>
  <w:style w:type="character" w:customStyle="1" w:styleId="TMEFigureChar">
    <w:name w:val="TME Figure Char"/>
    <w:basedOn w:val="TMEBodytextChar"/>
    <w:link w:val="TMEFigure"/>
    <w:rsid w:val="000D51AB"/>
    <w:rPr>
      <w:rFonts w:ascii="Times New Roman" w:eastAsia="Batang" w:hAnsi="Times New Roman" w:cs="Times New Roman"/>
      <w:noProof/>
    </w:rPr>
  </w:style>
  <w:style w:type="paragraph" w:styleId="FootnoteText">
    <w:name w:val="footnote text"/>
    <w:basedOn w:val="Normal"/>
    <w:link w:val="FootnoteTextChar"/>
    <w:uiPriority w:val="99"/>
    <w:semiHidden/>
    <w:unhideWhenUsed/>
    <w:rsid w:val="00FB4CD1"/>
    <w:pPr>
      <w:spacing w:line="240" w:lineRule="auto"/>
    </w:pPr>
    <w:rPr>
      <w:sz w:val="20"/>
      <w:szCs w:val="20"/>
    </w:rPr>
  </w:style>
  <w:style w:type="character" w:customStyle="1" w:styleId="FootnoteTextChar">
    <w:name w:val="Footnote Text Char"/>
    <w:basedOn w:val="DefaultParagraphFont"/>
    <w:link w:val="FootnoteText"/>
    <w:uiPriority w:val="99"/>
    <w:semiHidden/>
    <w:rsid w:val="00FB4CD1"/>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FB4CD1"/>
    <w:rPr>
      <w:vertAlign w:val="superscript"/>
    </w:rPr>
  </w:style>
  <w:style w:type="paragraph" w:customStyle="1" w:styleId="TMEFootnoteText">
    <w:name w:val="TME Footnote Text"/>
    <w:basedOn w:val="FootnoteText"/>
    <w:qFormat/>
    <w:rsid w:val="00B70343"/>
    <w:pPr>
      <w:keepNext/>
      <w:tabs>
        <w:tab w:val="left" w:pos="187"/>
      </w:tabs>
      <w:spacing w:after="120"/>
      <w:jc w:val="both"/>
    </w:pPr>
    <w:rPr>
      <w:sz w:val="18"/>
      <w:szCs w:val="18"/>
    </w:rPr>
  </w:style>
  <w:style w:type="paragraph" w:customStyle="1" w:styleId="TMETitle">
    <w:name w:val="TME Title"/>
    <w:basedOn w:val="Title"/>
    <w:next w:val="TMEAuthorsname"/>
    <w:link w:val="TMETitleChar"/>
    <w:qFormat/>
    <w:rsid w:val="000F3123"/>
  </w:style>
  <w:style w:type="character" w:customStyle="1" w:styleId="TMETitleChar">
    <w:name w:val="TME Title Char"/>
    <w:basedOn w:val="TitleChar"/>
    <w:link w:val="TMETitle"/>
    <w:rsid w:val="000F3123"/>
    <w:rPr>
      <w:rFonts w:ascii="Palatino Linotype" w:eastAsia="Times New Roman" w:hAnsi="Palatino Linotype" w:cs="Times New Roman"/>
      <w:b/>
      <w:bCs/>
      <w:sz w:val="28"/>
    </w:rPr>
  </w:style>
  <w:style w:type="paragraph" w:styleId="BalloonText">
    <w:name w:val="Balloon Text"/>
    <w:basedOn w:val="Normal"/>
    <w:link w:val="BalloonTextChar"/>
    <w:uiPriority w:val="99"/>
    <w:semiHidden/>
    <w:unhideWhenUsed/>
    <w:rsid w:val="007920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44"/>
    <w:rPr>
      <w:rFonts w:ascii="Segoe UI" w:eastAsia="Times New Roman" w:hAnsi="Segoe UI" w:cs="Segoe UI"/>
      <w:sz w:val="18"/>
      <w:szCs w:val="18"/>
      <w:lang w:val="en-AU"/>
    </w:rPr>
  </w:style>
  <w:style w:type="paragraph" w:customStyle="1" w:styleId="TMELabeltablefigure">
    <w:name w:val="TME Label (table figure)"/>
    <w:basedOn w:val="TMEBodytext"/>
    <w:next w:val="TMECaptiontablefigure"/>
    <w:qFormat/>
    <w:rsid w:val="00635510"/>
    <w:pPr>
      <w:keepNext/>
      <w:spacing w:before="200"/>
      <w:ind w:firstLine="0"/>
    </w:pPr>
    <w:rPr>
      <w:b/>
      <w:bCs/>
      <w:sz w:val="20"/>
      <w:szCs w:val="20"/>
      <w:lang w:val="en-AU"/>
    </w:rPr>
  </w:style>
  <w:style w:type="paragraph" w:customStyle="1" w:styleId="TMECaptiontablefigure">
    <w:name w:val="TME Caption (table figure)"/>
    <w:basedOn w:val="TMELabeltablefigure"/>
    <w:next w:val="TMEFigure"/>
    <w:qFormat/>
    <w:rsid w:val="00635510"/>
    <w:pPr>
      <w:spacing w:before="0"/>
    </w:pPr>
    <w:rPr>
      <w:b w:val="0"/>
      <w:bCs w:val="0"/>
      <w:i/>
      <w:iCs/>
    </w:rPr>
  </w:style>
  <w:style w:type="table" w:styleId="TableGrid">
    <w:name w:val="Table Grid"/>
    <w:basedOn w:val="TableNormal"/>
    <w:uiPriority w:val="39"/>
    <w:rsid w:val="0048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0AC1"/>
    <w:rPr>
      <w:color w:val="605E5C"/>
      <w:shd w:val="clear" w:color="auto" w:fill="E1DFDD"/>
    </w:rPr>
  </w:style>
  <w:style w:type="character" w:customStyle="1" w:styleId="None">
    <w:name w:val="None"/>
    <w:rsid w:val="00ED0B20"/>
  </w:style>
  <w:style w:type="paragraph" w:styleId="NoSpacing">
    <w:name w:val="No Spacing"/>
    <w:uiPriority w:val="1"/>
    <w:qFormat/>
    <w:rsid w:val="00DB6F67"/>
    <w:pPr>
      <w:tabs>
        <w:tab w:val="right" w:pos="8640"/>
      </w:tabs>
      <w:spacing w:after="0" w:line="240" w:lineRule="auto"/>
    </w:pPr>
    <w:rPr>
      <w:rFonts w:ascii="Times New Roman" w:eastAsia="Times New Roman" w:hAnsi="Times New Roman" w:cs="Times New Roman"/>
      <w:sz w:val="24"/>
      <w:szCs w:val="24"/>
      <w:lang w:val="en-AU"/>
    </w:rPr>
  </w:style>
  <w:style w:type="character" w:styleId="FollowedHyperlink">
    <w:name w:val="FollowedHyperlink"/>
    <w:basedOn w:val="DefaultParagraphFont"/>
    <w:uiPriority w:val="99"/>
    <w:semiHidden/>
    <w:unhideWhenUsed/>
    <w:rsid w:val="00134E87"/>
    <w:rPr>
      <w:color w:val="954F72" w:themeColor="followedHyperlink"/>
      <w:u w:val="single"/>
    </w:rPr>
  </w:style>
  <w:style w:type="character" w:styleId="CommentReference">
    <w:name w:val="annotation reference"/>
    <w:basedOn w:val="DefaultParagraphFont"/>
    <w:uiPriority w:val="99"/>
    <w:semiHidden/>
    <w:unhideWhenUsed/>
    <w:rsid w:val="00434383"/>
    <w:rPr>
      <w:sz w:val="16"/>
      <w:szCs w:val="16"/>
    </w:rPr>
  </w:style>
  <w:style w:type="paragraph" w:styleId="CommentText">
    <w:name w:val="annotation text"/>
    <w:basedOn w:val="Normal"/>
    <w:link w:val="CommentTextChar"/>
    <w:uiPriority w:val="99"/>
    <w:semiHidden/>
    <w:unhideWhenUsed/>
    <w:rsid w:val="00434383"/>
    <w:pPr>
      <w:spacing w:line="240" w:lineRule="auto"/>
    </w:pPr>
    <w:rPr>
      <w:sz w:val="20"/>
      <w:szCs w:val="20"/>
    </w:rPr>
  </w:style>
  <w:style w:type="character" w:customStyle="1" w:styleId="CommentTextChar">
    <w:name w:val="Comment Text Char"/>
    <w:basedOn w:val="DefaultParagraphFont"/>
    <w:link w:val="CommentText"/>
    <w:uiPriority w:val="99"/>
    <w:semiHidden/>
    <w:rsid w:val="0043438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4383"/>
    <w:rPr>
      <w:b/>
      <w:bCs/>
    </w:rPr>
  </w:style>
  <w:style w:type="character" w:customStyle="1" w:styleId="CommentSubjectChar">
    <w:name w:val="Comment Subject Char"/>
    <w:basedOn w:val="CommentTextChar"/>
    <w:link w:val="CommentSubject"/>
    <w:uiPriority w:val="99"/>
    <w:semiHidden/>
    <w:rsid w:val="00434383"/>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23/jume-v9i2a294" TargetMode="External"/><Relationship Id="rId18" Type="http://schemas.openxmlformats.org/officeDocument/2006/relationships/hyperlink" Target="https://doi.org/10.15845/voices.v18i2.985" TargetMode="External"/><Relationship Id="rId26" Type="http://schemas.openxmlformats.org/officeDocument/2006/relationships/hyperlink" Target="http://dx.doi.org/10.1177/0022487100051003008" TargetMode="External"/><Relationship Id="rId39" Type="http://schemas.openxmlformats.org/officeDocument/2006/relationships/hyperlink" Target="https://doi.org/10.1177/1046878119879742" TargetMode="External"/><Relationship Id="rId21" Type="http://schemas.openxmlformats.org/officeDocument/2006/relationships/hyperlink" Target="https://doi.org/10.1080/0022027980280501" TargetMode="External"/><Relationship Id="rId34" Type="http://schemas.openxmlformats.org/officeDocument/2006/relationships/hyperlink" Target="https://psycnet.apa.org/doi/10.1037/a0014191"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71/journal.pone.0122963" TargetMode="External"/><Relationship Id="rId29" Type="http://schemas.openxmlformats.org/officeDocument/2006/relationships/hyperlink" Target="https://doi.org/10.3102/00028312114239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ssm.12010" TargetMode="External"/><Relationship Id="rId24" Type="http://schemas.openxmlformats.org/officeDocument/2006/relationships/hyperlink" Target="https://doi.org/10.1023/A:1010389023211" TargetMode="External"/><Relationship Id="rId32" Type="http://schemas.openxmlformats.org/officeDocument/2006/relationships/hyperlink" Target="https://doi.org/10.3102/0013189X12441244" TargetMode="External"/><Relationship Id="rId37" Type="http://schemas.openxmlformats.org/officeDocument/2006/relationships/hyperlink" Target="http://dx.doi.org/10.1002/jcop.21529" TargetMode="External"/><Relationship Id="rId40" Type="http://schemas.openxmlformats.org/officeDocument/2006/relationships/hyperlink" Target="https://doi.org/10.1016/j.tate.2018.04.004"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77/1046878193241003" TargetMode="External"/><Relationship Id="rId23" Type="http://schemas.openxmlformats.org/officeDocument/2006/relationships/hyperlink" Target="https://iwl.rutgers.edu/wp-content/uploads/2018/09/SAP-Presentation-Hehir.pdf" TargetMode="External"/><Relationship Id="rId28" Type="http://schemas.openxmlformats.org/officeDocument/2006/relationships/hyperlink" Target="https://doi.org/10.1111/j.1469-5812.2004.00057.x" TargetMode="External"/><Relationship Id="rId36" Type="http://schemas.openxmlformats.org/officeDocument/2006/relationships/hyperlink" Target="https://doi.org/10.31686/ijier.vol3.iss9.434" TargetMode="External"/><Relationship Id="rId10" Type="http://schemas.openxmlformats.org/officeDocument/2006/relationships/hyperlink" Target="https://doi.org/10.2307/40539330" TargetMode="External"/><Relationship Id="rId19" Type="http://schemas.openxmlformats.org/officeDocument/2006/relationships/hyperlink" Target="https://doi.org/10.15845/voices.v20i1.2797" TargetMode="External"/><Relationship Id="rId31" Type="http://schemas.openxmlformats.org/officeDocument/2006/relationships/hyperlink" Target="https://doi.org/10.3200/CTCH.54.3.281-284"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sycnet.apa.org/doi/10.1037/14840-011" TargetMode="External"/><Relationship Id="rId14" Type="http://schemas.openxmlformats.org/officeDocument/2006/relationships/hyperlink" Target="http://www.jstor.org/stable/23240292" TargetMode="External"/><Relationship Id="rId22" Type="http://schemas.openxmlformats.org/officeDocument/2006/relationships/hyperlink" Target="https://doi.org/10.3726/978-1-4539-1716-9" TargetMode="External"/><Relationship Id="rId27" Type="http://schemas.openxmlformats.org/officeDocument/2006/relationships/hyperlink" Target="https://doi.dx.org/10.22318/icls2010.1.612" TargetMode="External"/><Relationship Id="rId30" Type="http://schemas.openxmlformats.org/officeDocument/2006/relationships/hyperlink" Target="https://doi.org/10.1080/23793406.2016.1159600" TargetMode="External"/><Relationship Id="rId35" Type="http://schemas.openxmlformats.org/officeDocument/2006/relationships/hyperlink" Target="https://doi.org/10.1177/105256299702100212" TargetMode="External"/><Relationship Id="rId43" Type="http://schemas.openxmlformats.org/officeDocument/2006/relationships/footer" Target="footer1.xml"/><Relationship Id="rId8" Type="http://schemas.openxmlformats.org/officeDocument/2006/relationships/hyperlink" Target="https://doi.org/10.1080/1554480X.2013.768518" TargetMode="External"/><Relationship Id="rId3" Type="http://schemas.openxmlformats.org/officeDocument/2006/relationships/styles" Target="styles.xml"/><Relationship Id="rId12" Type="http://schemas.openxmlformats.org/officeDocument/2006/relationships/hyperlink" Target="https://doi.org/10.1080/00220270050167189" TargetMode="External"/><Relationship Id="rId17" Type="http://schemas.openxmlformats.org/officeDocument/2006/relationships/hyperlink" Target="http://dx.doi.org/10.1016/j.sbspro.2015.01.973" TargetMode="External"/><Relationship Id="rId25" Type="http://schemas.openxmlformats.org/officeDocument/2006/relationships/hyperlink" Target="https://cie.asu.edu/ojs/index.php/cieatasu/article/view/1059" TargetMode="External"/><Relationship Id="rId33" Type="http://schemas.openxmlformats.org/officeDocument/2006/relationships/hyperlink" Target="https://doi.org/10.1016/j.cedpsych.2019.01.002" TargetMode="External"/><Relationship Id="rId38" Type="http://schemas.openxmlformats.org/officeDocument/2006/relationships/hyperlink" Target="https://doi.org/10.1007/s10857-011-9196-6" TargetMode="External"/><Relationship Id="rId46" Type="http://schemas.openxmlformats.org/officeDocument/2006/relationships/fontTable" Target="fontTable.xml"/><Relationship Id="rId20" Type="http://schemas.openxmlformats.org/officeDocument/2006/relationships/hyperlink" Target="https://doi.org/10.1177/1046878111424335"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3D9A-C70C-48CA-ACA7-FC24C9AF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8090</Words>
  <Characters>44743</Characters>
  <Application>Microsoft Office Word</Application>
  <DocSecurity>0</DocSecurity>
  <Lines>994</Lines>
  <Paragraphs>254</Paragraphs>
  <ScaleCrop>false</ScaleCrop>
  <HeadingPairs>
    <vt:vector size="2" baseType="variant">
      <vt:variant>
        <vt:lpstr>Title</vt:lpstr>
      </vt:variant>
      <vt:variant>
        <vt:i4>1</vt:i4>
      </vt:variant>
    </vt:vector>
  </HeadingPairs>
  <TitlesOfParts>
    <vt:vector size="1" baseType="lpstr">
      <vt:lpstr>Using Bafa Bafa to help pre-service teachers experience microaggressions in the classroom</vt:lpstr>
    </vt:vector>
  </TitlesOfParts>
  <Manager/>
  <Company>The Mathematics Educator</Company>
  <LinksUpToDate>false</LinksUpToDate>
  <CharactersWithSpaces>52579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Bafa Bafa to help pre-service teachers experience microaggressions in the classroom</dc:title>
  <dc:subject/>
  <dc:creator>Rebecca Dibbs, Kelly Lewis, Jennifer Moon, and Rebecca Steward</dc:creator>
  <cp:keywords/>
  <dc:description/>
  <cp:lastModifiedBy>Aida Alibek</cp:lastModifiedBy>
  <cp:revision>15</cp:revision>
  <dcterms:created xsi:type="dcterms:W3CDTF">2023-06-26T18:35:00Z</dcterms:created>
  <dcterms:modified xsi:type="dcterms:W3CDTF">2023-07-27T18:25:00Z</dcterms:modified>
  <cp:category>Journal Article</cp:category>
</cp:coreProperties>
</file>